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21B0" w14:textId="0257443C" w:rsidR="007A7636" w:rsidRPr="00256D33" w:rsidRDefault="00256D33" w:rsidP="00256D33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56D33">
        <w:rPr>
          <w:rFonts w:ascii="Times New Roman" w:hAnsi="Times New Roman" w:cs="Times New Roman"/>
          <w:b/>
          <w:bCs/>
          <w:sz w:val="32"/>
          <w:szCs w:val="32"/>
          <w:lang w:val="en-US"/>
        </w:rPr>
        <w:t>What is new at LUARS this year (202</w:t>
      </w:r>
      <w:r w:rsidR="00023DFF">
        <w:rPr>
          <w:rFonts w:ascii="Times New Roman" w:hAnsi="Times New Roman" w:cs="Times New Roman"/>
          <w:b/>
          <w:bCs/>
          <w:sz w:val="32"/>
          <w:szCs w:val="32"/>
          <w:lang w:val="en-US"/>
        </w:rPr>
        <w:t>5</w:t>
      </w:r>
      <w:r w:rsidRPr="00256D33">
        <w:rPr>
          <w:rFonts w:ascii="Times New Roman" w:hAnsi="Times New Roman" w:cs="Times New Roman"/>
          <w:b/>
          <w:bCs/>
          <w:sz w:val="32"/>
          <w:szCs w:val="32"/>
          <w:lang w:val="en-US"/>
        </w:rPr>
        <w:t>)?</w:t>
      </w:r>
    </w:p>
    <w:p w14:paraId="222C1641" w14:textId="77777777" w:rsidR="00256D33" w:rsidRPr="00256D33" w:rsidRDefault="00256D33" w:rsidP="00256D33">
      <w:pPr>
        <w:pStyle w:val="NoSpacing"/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14:paraId="123322F5" w14:textId="0F892EC2" w:rsidR="00256D33" w:rsidRPr="00256D33" w:rsidRDefault="00256D33" w:rsidP="00256D3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56D33">
        <w:rPr>
          <w:rFonts w:ascii="Times New Roman" w:hAnsi="Times New Roman" w:cs="Times New Roman"/>
          <w:i/>
          <w:iCs/>
          <w:sz w:val="24"/>
          <w:szCs w:val="24"/>
          <w:lang w:val="en-US"/>
        </w:rPr>
        <w:t>Dr. Tarlok Singh Sahota CCA</w:t>
      </w:r>
    </w:p>
    <w:p w14:paraId="76B78349" w14:textId="77777777" w:rsidR="00256D33" w:rsidRPr="00F14135" w:rsidRDefault="00256D33" w:rsidP="00256D33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6ED1BB54" w14:textId="6546D25F" w:rsidR="00256D33" w:rsidRDefault="00256D33" w:rsidP="00256D3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keep on testing new fertilizers/and other products, new crops and new crop varieties every year to find out if there is anything that works better than the existing ones. </w:t>
      </w:r>
      <w:r w:rsidR="004B02C3">
        <w:rPr>
          <w:rFonts w:ascii="Times New Roman" w:hAnsi="Times New Roman" w:cs="Times New Roman"/>
          <w:sz w:val="24"/>
          <w:szCs w:val="24"/>
          <w:lang w:val="en-US"/>
        </w:rPr>
        <w:t>Few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exciting thing</w:t>
      </w:r>
      <w:r w:rsidR="004B02C3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 have to show you </w:t>
      </w:r>
      <w:r w:rsidR="00CE404D">
        <w:rPr>
          <w:rFonts w:ascii="Times New Roman" w:hAnsi="Times New Roman" w:cs="Times New Roman"/>
          <w:sz w:val="24"/>
          <w:szCs w:val="24"/>
          <w:lang w:val="en-US"/>
        </w:rPr>
        <w:t xml:space="preserve">this year </w:t>
      </w:r>
      <w:r w:rsidR="004B02C3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1176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1176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176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2C3">
        <w:rPr>
          <w:rFonts w:ascii="Times New Roman" w:hAnsi="Times New Roman" w:cs="Times New Roman"/>
          <w:b/>
          <w:bCs/>
          <w:sz w:val="24"/>
          <w:szCs w:val="24"/>
          <w:lang w:val="en-US"/>
        </w:rPr>
        <w:t>Pearl millet</w:t>
      </w:r>
      <w:r w:rsidR="00E15A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15A4A" w:rsidRPr="00E15A4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15A4A" w:rsidRPr="00E15A4A">
        <w:rPr>
          <w:rFonts w:ascii="Times New Roman" w:hAnsi="Times New Roman" w:cs="Times New Roman"/>
          <w:sz w:val="24"/>
          <w:szCs w:val="24"/>
          <w:lang w:val="en-US"/>
        </w:rPr>
        <w:t xml:space="preserve">CFPM 101 </w:t>
      </w:r>
      <w:r w:rsidR="00E15A4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15A4A" w:rsidRPr="00E15A4A">
        <w:rPr>
          <w:rFonts w:ascii="Times New Roman" w:hAnsi="Times New Roman" w:cs="Times New Roman"/>
          <w:sz w:val="24"/>
          <w:szCs w:val="24"/>
          <w:lang w:val="en-US"/>
        </w:rPr>
        <w:t>ulti-cut</w:t>
      </w:r>
      <w:r w:rsidR="00E15A4A" w:rsidRPr="00E15A4A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, a</w:t>
      </w:r>
      <w:r w:rsidR="0091176E">
        <w:rPr>
          <w:rFonts w:ascii="Times New Roman" w:hAnsi="Times New Roman" w:cs="Times New Roman"/>
          <w:sz w:val="24"/>
          <w:szCs w:val="24"/>
          <w:lang w:val="en-US"/>
        </w:rPr>
        <w:t>n annual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2C3">
        <w:rPr>
          <w:rFonts w:ascii="Times New Roman" w:hAnsi="Times New Roman" w:cs="Times New Roman"/>
          <w:sz w:val="24"/>
          <w:szCs w:val="24"/>
          <w:lang w:val="en-US"/>
        </w:rPr>
        <w:t>forage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crop </w:t>
      </w:r>
      <w:r w:rsidR="004B02C3">
        <w:rPr>
          <w:rFonts w:ascii="Times New Roman" w:hAnsi="Times New Roman" w:cs="Times New Roman"/>
          <w:sz w:val="24"/>
          <w:szCs w:val="24"/>
          <w:lang w:val="en-US"/>
        </w:rPr>
        <w:t>from the tropical areas</w:t>
      </w:r>
      <w:r w:rsidR="0091176E">
        <w:rPr>
          <w:rFonts w:ascii="Times New Roman" w:hAnsi="Times New Roman" w:cs="Times New Roman"/>
          <w:sz w:val="24"/>
          <w:szCs w:val="24"/>
          <w:lang w:val="en-US"/>
        </w:rPr>
        <w:t xml:space="preserve"> suited to the dry lands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22246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91176E">
        <w:rPr>
          <w:rFonts w:ascii="Times New Roman" w:hAnsi="Times New Roman" w:cs="Times New Roman"/>
          <w:sz w:val="24"/>
          <w:szCs w:val="24"/>
          <w:lang w:val="en-US"/>
        </w:rPr>
        <w:t xml:space="preserve">th increasing chances of </w:t>
      </w:r>
      <w:r w:rsidR="0087755A">
        <w:rPr>
          <w:rFonts w:ascii="Times New Roman" w:hAnsi="Times New Roman" w:cs="Times New Roman"/>
          <w:sz w:val="24"/>
          <w:szCs w:val="24"/>
          <w:lang w:val="en-US"/>
        </w:rPr>
        <w:t xml:space="preserve">frequent </w:t>
      </w:r>
      <w:r w:rsidR="0091176E">
        <w:rPr>
          <w:rFonts w:ascii="Times New Roman" w:hAnsi="Times New Roman" w:cs="Times New Roman"/>
          <w:sz w:val="24"/>
          <w:szCs w:val="24"/>
          <w:lang w:val="en-US"/>
        </w:rPr>
        <w:t>hot weather and drought we need to test crops and crop varieties from the warmer areas, (ii) Azotobacter, a naturally occurring soil bacteria that can fix atmospheric nitrogen</w:t>
      </w:r>
      <w:r w:rsidR="00CF6A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6A4C">
        <w:rPr>
          <w:rFonts w:ascii="Times New Roman" w:hAnsi="Times New Roman" w:cs="Times New Roman"/>
          <w:sz w:val="24"/>
          <w:szCs w:val="24"/>
          <w:lang w:val="en-US"/>
        </w:rPr>
        <w:t>(N)</w:t>
      </w:r>
      <w:r w:rsidR="0091176E">
        <w:rPr>
          <w:rFonts w:ascii="Times New Roman" w:hAnsi="Times New Roman" w:cs="Times New Roman"/>
          <w:sz w:val="24"/>
          <w:szCs w:val="24"/>
          <w:lang w:val="en-US"/>
        </w:rPr>
        <w:t>, obtained from a company in India</w:t>
      </w:r>
      <w:r w:rsidR="0087755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1176E">
        <w:rPr>
          <w:rFonts w:ascii="Times New Roman" w:hAnsi="Times New Roman" w:cs="Times New Roman"/>
          <w:sz w:val="24"/>
          <w:szCs w:val="24"/>
          <w:lang w:val="en-US"/>
        </w:rPr>
        <w:t xml:space="preserve"> that we are testing in wheat, barley and canola, and (iii) tests on effect of Holganix, a bioproduct containing 800</w:t>
      </w:r>
      <w:r w:rsidR="0091176E" w:rsidRPr="0091176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91176E">
        <w:rPr>
          <w:rFonts w:ascii="Times New Roman" w:hAnsi="Times New Roman" w:cs="Times New Roman"/>
          <w:sz w:val="24"/>
          <w:szCs w:val="24"/>
          <w:lang w:val="en-US"/>
        </w:rPr>
        <w:t xml:space="preserve"> bacteria on </w:t>
      </w:r>
      <w:r w:rsidR="00CF6A4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1176E">
        <w:rPr>
          <w:rFonts w:ascii="Times New Roman" w:hAnsi="Times New Roman" w:cs="Times New Roman"/>
          <w:sz w:val="24"/>
          <w:szCs w:val="24"/>
          <w:lang w:val="en-US"/>
        </w:rPr>
        <w:t xml:space="preserve"> and phosphorus </w:t>
      </w:r>
      <w:r w:rsidR="00CF6A4C">
        <w:rPr>
          <w:rFonts w:ascii="Times New Roman" w:hAnsi="Times New Roman" w:cs="Times New Roman"/>
          <w:sz w:val="24"/>
          <w:szCs w:val="24"/>
          <w:lang w:val="en-US"/>
        </w:rPr>
        <w:t xml:space="preserve">(P) </w:t>
      </w:r>
      <w:r w:rsidR="0091176E">
        <w:rPr>
          <w:rFonts w:ascii="Times New Roman" w:hAnsi="Times New Roman" w:cs="Times New Roman"/>
          <w:sz w:val="24"/>
          <w:szCs w:val="24"/>
          <w:lang w:val="en-US"/>
        </w:rPr>
        <w:t xml:space="preserve">requirements of canola. </w:t>
      </w:r>
      <w:r w:rsidR="0091176E" w:rsidRPr="00A4759A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Holganix</w:t>
      </w:r>
      <w:r w:rsidR="0091176E" w:rsidRPr="00A4759A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 xml:space="preserve"> harnesses the power of over 800 species of soil microbes</w:t>
      </w:r>
      <w:r w:rsidR="0091176E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 xml:space="preserve"> and is reported</w:t>
      </w:r>
      <w:r w:rsidR="0091176E" w:rsidRPr="00A4759A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 xml:space="preserve"> to increase yield, reduce the need for fertilizer</w:t>
      </w:r>
      <w:r w:rsidR="0091176E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>s</w:t>
      </w:r>
      <w:r w:rsidR="0091176E" w:rsidRPr="00A4759A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>, improve crop resilience against stress, and boost soil health.</w:t>
      </w:r>
      <w:r w:rsidR="009117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D7344C9" w14:textId="77777777" w:rsidR="00322246" w:rsidRPr="00F14135" w:rsidRDefault="00322246" w:rsidP="00256D33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7C69D3FA" w14:textId="29ED21B9" w:rsidR="00BD34D8" w:rsidRDefault="0091176E" w:rsidP="00256D33">
      <w:pPr>
        <w:pStyle w:val="NoSpacing"/>
        <w:jc w:val="both"/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We are continuing testing </w:t>
      </w:r>
      <w:r w:rsidR="00322246" w:rsidRPr="003222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Taurus Ag Poly Phosphate </w:t>
      </w:r>
      <w:r w:rsidR="003222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322246" w:rsidRPr="00322246">
        <w:rPr>
          <w:rFonts w:ascii="Times New Roman" w:hAnsi="Times New Roman" w:cs="Times New Roman"/>
          <w:b/>
          <w:bCs/>
          <w:sz w:val="24"/>
        </w:rPr>
        <w:t>TAPP</w:t>
      </w:r>
      <w:r w:rsidR="00322246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</w:t>
      </w:r>
      <w:r w:rsidR="00322246">
        <w:rPr>
          <w:rFonts w:ascii="Times New Roman" w:hAnsi="Times New Roman" w:cs="Times New Roman"/>
          <w:sz w:val="24"/>
        </w:rPr>
        <w:t xml:space="preserve"> a new P fertilizer</w:t>
      </w:r>
      <w:r>
        <w:rPr>
          <w:rFonts w:ascii="Times New Roman" w:hAnsi="Times New Roman" w:cs="Times New Roman"/>
          <w:sz w:val="24"/>
        </w:rPr>
        <w:t>,</w:t>
      </w:r>
      <w:r w:rsidR="00322246">
        <w:rPr>
          <w:rFonts w:ascii="Times New Roman" w:hAnsi="Times New Roman" w:cs="Times New Roman"/>
          <w:sz w:val="24"/>
        </w:rPr>
        <w:t xml:space="preserve"> against the conventional P fertilizer in spring wheat and canola. </w:t>
      </w:r>
      <w:r w:rsidR="00322246" w:rsidRPr="00322246">
        <w:rPr>
          <w:rFonts w:ascii="Times New Roman" w:hAnsi="Times New Roman" w:cs="Times New Roman"/>
          <w:sz w:val="24"/>
          <w:szCs w:val="24"/>
        </w:rPr>
        <w:t>It is</w:t>
      </w:r>
      <w:r w:rsidR="00322246" w:rsidRPr="003222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unique combination of </w:t>
      </w:r>
      <w:r w:rsidR="00322246" w:rsidRPr="00322246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essential plant nutrients</w:t>
      </w:r>
      <w:r w:rsidR="00322246" w:rsidRPr="003222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strategically designed to ensure </w:t>
      </w:r>
      <w:r w:rsidR="00322246" w:rsidRPr="00322246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season-long plant nourishment</w:t>
      </w:r>
      <w:r w:rsidR="00322246" w:rsidRPr="003222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It is a special blend of Crystal Green Synchro</w:t>
      </w:r>
      <w:r w:rsidR="00322246" w:rsidRPr="008775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™</w:t>
      </w:r>
      <w:r w:rsidR="00322246" w:rsidRPr="003222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50 and Polysulphate Premium® that ensures delivery of Phosphorus</w:t>
      </w:r>
      <w:r w:rsidR="00F26D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(2</w:t>
      </w:r>
      <w:r w:rsidR="00FD65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="00F26D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%)</w:t>
      </w:r>
      <w:r w:rsidR="00322246" w:rsidRPr="003222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Potassium</w:t>
      </w:r>
      <w:r w:rsidR="00F26D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FD65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="00F26D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%)</w:t>
      </w:r>
      <w:r w:rsidR="00322246" w:rsidRPr="003222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Sul</w:t>
      </w:r>
      <w:r w:rsidR="00F26D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ph</w:t>
      </w:r>
      <w:r w:rsidR="00322246" w:rsidRPr="003222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ur</w:t>
      </w:r>
      <w:r w:rsidR="00F26D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D830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="00F26D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830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="00F26D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%)</w:t>
      </w:r>
      <w:r w:rsidR="00322246" w:rsidRPr="003222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Calcium</w:t>
      </w:r>
      <w:r w:rsidR="00F26D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D830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12.</w:t>
      </w:r>
      <w:r w:rsidR="00F26D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5 %)</w:t>
      </w:r>
      <w:r w:rsidR="00322246" w:rsidRPr="003222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Magnesium</w:t>
      </w:r>
      <w:r w:rsidR="00F26D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D830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1.6</w:t>
      </w:r>
      <w:r w:rsidR="00F26D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%)</w:t>
      </w:r>
      <w:r w:rsidR="00322246" w:rsidRPr="003222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F26D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and also some </w:t>
      </w:r>
      <w:r w:rsidR="003463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other nutrients; </w:t>
      </w:r>
      <w:r w:rsidR="00322246" w:rsidRPr="003222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Chloride, Boron and Zinc</w:t>
      </w:r>
      <w:r w:rsidR="00F26DCB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. </w:t>
      </w:r>
      <w:r w:rsidR="00EF1513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Some of the other interesting experiments include optimizing seeding time for canola and effect of different seeding times on the N requirements of canola and measures to reduce the effect of drought on wheat, barley and canola. </w:t>
      </w:r>
    </w:p>
    <w:p w14:paraId="5EE3B164" w14:textId="77777777" w:rsidR="00F26DCB" w:rsidRPr="00F14135" w:rsidRDefault="00F26DCB" w:rsidP="00256D33">
      <w:pPr>
        <w:pStyle w:val="NoSpacing"/>
        <w:jc w:val="both"/>
        <w:rPr>
          <w:rStyle w:val="Emphasis"/>
          <w:rFonts w:ascii="Times New Roman" w:hAnsi="Times New Roman" w:cs="Times New Roman"/>
          <w:i w:val="0"/>
          <w:iCs w:val="0"/>
          <w:color w:val="333333"/>
          <w:sz w:val="16"/>
          <w:szCs w:val="16"/>
          <w:shd w:val="clear" w:color="auto" w:fill="FFFFFF"/>
        </w:rPr>
      </w:pPr>
    </w:p>
    <w:p w14:paraId="43384E53" w14:textId="5BEB00E5" w:rsidR="00F26DCB" w:rsidRPr="00665521" w:rsidRDefault="00695FC3" w:rsidP="00665521">
      <w:pPr>
        <w:spacing w:after="0" w:line="240" w:lineRule="auto"/>
        <w:jc w:val="both"/>
        <w:rPr>
          <w:rStyle w:val="Emphasis"/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0"/>
          <w:sz w:val="24"/>
          <w:szCs w:val="24"/>
          <w:lang w:eastAsia="en-CA" w:bidi="pa-IN"/>
          <w14:ligatures w14:val="none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We have added </w:t>
      </w:r>
      <w:r w:rsidR="00F14135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31</w:t>
      </w:r>
      <w:r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new crop varieties to our varieties portfolio; </w:t>
      </w:r>
      <w:r w:rsidR="00792FF3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including </w:t>
      </w:r>
      <w:r w:rsidR="00FF5A2C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3 HRSW </w:t>
      </w:r>
      <w:r w:rsidR="00792FF3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varieties</w:t>
      </w:r>
      <w:r w:rsidR="00792FF3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  <w:r w:rsidR="00FF5A2C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(</w:t>
      </w:r>
      <w:r w:rsidR="00FF5A2C" w:rsidRPr="00FF5A2C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AAC </w:t>
      </w:r>
      <w:r w:rsidR="00EF1513" w:rsidRPr="00EF1513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Hassler</w:t>
      </w:r>
      <w:r w:rsidR="00FF5A2C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, </w:t>
      </w:r>
      <w:r w:rsidR="00EF1513" w:rsidRPr="00EF1513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AAC Darby VB</w:t>
      </w:r>
      <w:r w:rsidR="00FF5A2C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and </w:t>
      </w:r>
      <w:r w:rsidR="00EF1513" w:rsidRPr="00EF1513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AAC Dutton</w:t>
      </w:r>
      <w:r w:rsidR="00FF5A2C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), </w:t>
      </w:r>
      <w:r w:rsidR="00602A15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3</w:t>
      </w:r>
      <w:r w:rsidR="00FF5A2C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malting barley 2-row varieties (</w:t>
      </w:r>
      <w:r w:rsidR="007908A0" w:rsidRPr="007908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 w:bidi="pa-IN"/>
          <w14:ligatures w14:val="none"/>
        </w:rPr>
        <w:t>AAC Stockton</w:t>
      </w:r>
      <w:r w:rsidR="007908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 w:bidi="pa-IN"/>
          <w14:ligatures w14:val="none"/>
        </w:rPr>
        <w:t xml:space="preserve">, </w:t>
      </w:r>
      <w:r w:rsidR="00562AC3" w:rsidRPr="00562A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 w:bidi="pa-IN"/>
          <w14:ligatures w14:val="none"/>
        </w:rPr>
        <w:t>CDC Durango</w:t>
      </w:r>
      <w:r w:rsidR="00562A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 w:bidi="pa-IN"/>
          <w14:ligatures w14:val="none"/>
        </w:rPr>
        <w:t xml:space="preserve">, </w:t>
      </w:r>
      <w:r w:rsidR="00602A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 w:bidi="pa-IN"/>
          <w14:ligatures w14:val="none"/>
        </w:rPr>
        <w:t>and</w:t>
      </w:r>
      <w:r w:rsidR="00602A15" w:rsidRPr="00292C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 w:bidi="pa-IN"/>
          <w14:ligatures w14:val="none"/>
        </w:rPr>
        <w:t xml:space="preserve"> </w:t>
      </w:r>
      <w:r w:rsidR="00292CAF" w:rsidRPr="00292C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 w:bidi="pa-IN"/>
          <w14:ligatures w14:val="none"/>
        </w:rPr>
        <w:t xml:space="preserve">AB </w:t>
      </w:r>
      <w:proofErr w:type="spellStart"/>
      <w:r w:rsidR="00292CAF" w:rsidRPr="00292C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 w:bidi="pa-IN"/>
          <w14:ligatures w14:val="none"/>
        </w:rPr>
        <w:t>Standwell</w:t>
      </w:r>
      <w:proofErr w:type="spellEnd"/>
      <w:r w:rsidR="00FF5A2C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), </w:t>
      </w:r>
      <w:r w:rsidR="00602A15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two </w:t>
      </w:r>
      <w:proofErr w:type="spellStart"/>
      <w:r w:rsidR="00602A15" w:rsidRPr="006E0322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Hulless</w:t>
      </w:r>
      <w:proofErr w:type="spellEnd"/>
      <w:r w:rsidR="00602A15" w:rsidRPr="006E0322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 barley</w:t>
      </w:r>
      <w:r w:rsidR="00602A15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varieties (</w:t>
      </w:r>
      <w:r w:rsidR="006E0322" w:rsidRPr="006E0322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AAC Magenta</w:t>
      </w:r>
      <w:r w:rsidR="006E0322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and </w:t>
      </w:r>
      <w:r w:rsidR="006E0322" w:rsidRPr="006E0322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AAC Beckett</w:t>
      </w:r>
      <w:r w:rsidR="00602A15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)</w:t>
      </w:r>
      <w:r w:rsidR="00CB3C96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, one oat variety (</w:t>
      </w:r>
      <w:r w:rsidR="00CB3C96" w:rsidRPr="00CB3C96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AAC Fedak</w:t>
      </w:r>
      <w:r w:rsidR="00CB3C96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),</w:t>
      </w:r>
      <w:r w:rsidR="00602A15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  <w:r w:rsidR="00FF5A2C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  <w:r w:rsidR="00417939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winter wheat (</w:t>
      </w:r>
      <w:r w:rsidR="00417939" w:rsidRPr="00417939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Wildfire</w:t>
      </w:r>
      <w:r w:rsidR="00417939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), </w:t>
      </w:r>
      <w:r w:rsidR="00F07A69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6 Liberty </w:t>
      </w:r>
      <w:r w:rsidR="00694740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canola varieties</w:t>
      </w:r>
      <w:r w:rsidR="00F07A69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, one </w:t>
      </w:r>
      <w:r w:rsidR="00E15A4A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Trueflex</w:t>
      </w:r>
      <w:r w:rsidR="00F07A69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canola variety</w:t>
      </w:r>
      <w:r w:rsidR="00694740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(</w:t>
      </w:r>
      <w:r w:rsidR="00E15A4A" w:rsidRPr="00E15A4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 w:bidi="pa-IN"/>
          <w14:ligatures w14:val="none"/>
        </w:rPr>
        <w:t>DK 904 TF</w:t>
      </w:r>
      <w:r w:rsidR="006947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 w:bidi="pa-IN"/>
          <w14:ligatures w14:val="none"/>
        </w:rPr>
        <w:t xml:space="preserve">) one </w:t>
      </w:r>
      <w:r w:rsidR="00694740" w:rsidRPr="0069474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 w:bidi="pa-IN"/>
          <w14:ligatures w14:val="none"/>
        </w:rPr>
        <w:t>DK40</w:t>
      </w:r>
      <w:r w:rsidR="00F07A6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 w:bidi="pa-IN"/>
          <w14:ligatures w14:val="none"/>
        </w:rPr>
        <w:t>1</w:t>
      </w:r>
      <w:r w:rsidR="00694740" w:rsidRPr="0069474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 w:bidi="pa-IN"/>
          <w14:ligatures w14:val="none"/>
        </w:rPr>
        <w:t>TL</w:t>
      </w:r>
      <w:r w:rsidR="00694740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(Truflex and Liberty combine) canola, </w:t>
      </w:r>
      <w:r w:rsidR="00CB3C96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5</w:t>
      </w:r>
      <w:r w:rsidR="00665521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soybean varieties  and </w:t>
      </w:r>
      <w:r w:rsidR="00CB3C96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four</w:t>
      </w:r>
      <w:r w:rsidR="00665521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  <w:r w:rsidR="00CB3C96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corn</w:t>
      </w:r>
      <w:r w:rsidR="00665521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variet</w:t>
      </w:r>
      <w:r w:rsidR="00CB3C96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ies. </w:t>
      </w:r>
      <w:r w:rsidR="00665521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  <w:r w:rsidR="00A6191F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</w:p>
    <w:p w14:paraId="6C321989" w14:textId="77777777" w:rsidR="00FF5A2C" w:rsidRPr="00F14135" w:rsidRDefault="00FF5A2C" w:rsidP="00256D33">
      <w:pPr>
        <w:pStyle w:val="NoSpacing"/>
        <w:jc w:val="both"/>
        <w:rPr>
          <w:rStyle w:val="Emphasis"/>
          <w:rFonts w:ascii="Times New Roman" w:hAnsi="Times New Roman" w:cs="Times New Roman"/>
          <w:i w:val="0"/>
          <w:iCs w:val="0"/>
          <w:color w:val="333333"/>
          <w:sz w:val="16"/>
          <w:szCs w:val="16"/>
          <w:shd w:val="clear" w:color="auto" w:fill="FFFFFF"/>
        </w:rPr>
      </w:pPr>
    </w:p>
    <w:p w14:paraId="1BCB48E7" w14:textId="6B18AE01" w:rsidR="00665521" w:rsidRDefault="00666CC3" w:rsidP="00256D33">
      <w:pPr>
        <w:pStyle w:val="NoSpacing"/>
        <w:jc w:val="both"/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We are continuing testing plant growth regulators (</w:t>
      </w:r>
      <w:r w:rsidRPr="00666CC3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Manipulator</w:t>
      </w:r>
      <w:r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and </w:t>
      </w:r>
      <w:r w:rsidRPr="00666CC3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Moddus</w:t>
      </w:r>
      <w:r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) on wheat and barley, high efficiency N fertilizers (</w:t>
      </w:r>
      <w:r w:rsidRPr="00666CC3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ESN</w:t>
      </w:r>
      <w:r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, </w:t>
      </w:r>
      <w:r w:rsidRPr="00666CC3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urea Super</w:t>
      </w:r>
      <w:r w:rsidRPr="00666CC3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  <w:vertAlign w:val="superscript"/>
        </w:rPr>
        <w:t>U</w:t>
      </w:r>
      <w:r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and </w:t>
      </w:r>
      <w:r w:rsidRPr="00666CC3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PurYield</w:t>
      </w:r>
      <w:r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) on spring and winter wheat and canola. </w:t>
      </w:r>
      <w:r w:rsidR="00CF6A4C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W</w:t>
      </w:r>
      <w:r w:rsidR="002B464E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e are evaluating </w:t>
      </w:r>
      <w:r w:rsidR="002B464E" w:rsidRPr="00091FD5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GHG emissions</w:t>
      </w:r>
      <w:r w:rsidR="002B464E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from these fertilizers </w:t>
      </w:r>
      <w:r w:rsidR="002B464E" w:rsidRPr="002B464E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vis-à-vis</w:t>
      </w:r>
      <w:r w:rsidR="002B464E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urea in canola with Dr. Gautam Das, Professor Physics, Lakehead University as the lead researcher. </w:t>
      </w:r>
    </w:p>
    <w:p w14:paraId="6389D3D4" w14:textId="77777777" w:rsidR="00F440A2" w:rsidRPr="00F14135" w:rsidRDefault="00F440A2" w:rsidP="00256D33">
      <w:pPr>
        <w:pStyle w:val="NoSpacing"/>
        <w:jc w:val="both"/>
        <w:rPr>
          <w:rStyle w:val="Emphasis"/>
          <w:rFonts w:ascii="Times New Roman" w:hAnsi="Times New Roman" w:cs="Times New Roman"/>
          <w:i w:val="0"/>
          <w:iCs w:val="0"/>
          <w:color w:val="333333"/>
          <w:sz w:val="16"/>
          <w:szCs w:val="16"/>
          <w:shd w:val="clear" w:color="auto" w:fill="FFFFFF"/>
        </w:rPr>
      </w:pPr>
    </w:p>
    <w:p w14:paraId="70E59C6F" w14:textId="658436EA" w:rsidR="00F440A2" w:rsidRPr="00CE404D" w:rsidRDefault="00F440A2" w:rsidP="00256D33">
      <w:pPr>
        <w:pStyle w:val="NoSpacing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We have a lot more to show you</w:t>
      </w:r>
      <w:r w:rsidR="00D659E7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including two fertilizers experiments on alfalfa</w:t>
      </w:r>
      <w:r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. </w:t>
      </w:r>
      <w:r w:rsidRPr="00943D5F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We have </w:t>
      </w:r>
      <w:r w:rsidR="009C64FF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44</w:t>
      </w:r>
      <w:r w:rsidRPr="00943D5F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 experiments in total</w:t>
      </w:r>
      <w:r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. Our new collaborative project with RAIN Algoma funded by OAFRI</w:t>
      </w:r>
      <w:r w:rsidR="0057019A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  <w:r w:rsidR="00943D5F">
        <w:rPr>
          <w:rFonts w:ascii="Times New Roman" w:hAnsi="Times New Roman" w:cs="Times New Roman"/>
        </w:rPr>
        <w:t>“</w:t>
      </w:r>
      <w:r w:rsidR="00943D5F" w:rsidRPr="00C92B85">
        <w:rPr>
          <w:rFonts w:ascii="Times New Roman" w:hAnsi="Times New Roman" w:cs="Times New Roman"/>
        </w:rPr>
        <w:t>Maximizing Crop Potential through Nutrient Management for alfalfa and Sustainability Practices for Sorghum</w:t>
      </w:r>
      <w:r w:rsidR="00943D5F">
        <w:rPr>
          <w:rFonts w:ascii="Times New Roman" w:hAnsi="Times New Roman" w:cs="Times New Roman"/>
        </w:rPr>
        <w:t xml:space="preserve"> </w:t>
      </w:r>
      <w:r w:rsidR="00943D5F" w:rsidRPr="00C92B85">
        <w:rPr>
          <w:rFonts w:ascii="Times New Roman" w:hAnsi="Times New Roman" w:cs="Times New Roman"/>
        </w:rPr>
        <w:t>Sudan Grass in relation to seeding rate and allelopathy effects</w:t>
      </w:r>
      <w:r w:rsidR="0057019A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”</w:t>
      </w:r>
      <w:r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on forages</w:t>
      </w:r>
      <w:r w:rsidR="009C64FF"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 is in the second year</w:t>
      </w:r>
      <w:r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 xml:space="preserve">. </w:t>
      </w:r>
      <w:r w:rsidR="0057019A" w:rsidRPr="00CE404D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Come join us on our Annual Summ</w:t>
      </w:r>
      <w:r w:rsidR="001748EE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57019A" w:rsidRPr="00CE404D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 Tour Day at LUARS on </w:t>
      </w:r>
      <w:r w:rsidR="009C64FF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July 24</w:t>
      </w:r>
      <w:r w:rsidR="0057019A" w:rsidRPr="00CE404D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202</w:t>
      </w:r>
      <w:r w:rsidR="009C64FF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="0057019A" w:rsidRPr="00CE404D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we will show you all what we are doing</w:t>
      </w:r>
      <w:r w:rsidR="00CE404D" w:rsidRPr="00CE404D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for our enterprising producers!</w:t>
      </w:r>
      <w:r w:rsidR="0057019A" w:rsidRPr="00CE404D">
        <w:rPr>
          <w:rStyle w:val="Emphasis"/>
          <w:rFonts w:ascii="Times New Roma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</w:p>
    <w:p w14:paraId="211B7D99" w14:textId="77777777" w:rsidR="00665521" w:rsidRPr="00F14135" w:rsidRDefault="00665521" w:rsidP="00256D33">
      <w:pPr>
        <w:pStyle w:val="NoSpacing"/>
        <w:jc w:val="both"/>
        <w:rPr>
          <w:rStyle w:val="Emphasis"/>
          <w:rFonts w:ascii="Times New Roman" w:hAnsi="Times New Roman" w:cs="Times New Roman"/>
          <w:i w:val="0"/>
          <w:iCs w:val="0"/>
          <w:color w:val="333333"/>
          <w:sz w:val="16"/>
          <w:szCs w:val="16"/>
          <w:shd w:val="clear" w:color="auto" w:fill="FFFFFF"/>
        </w:rPr>
      </w:pPr>
    </w:p>
    <w:p w14:paraId="72519267" w14:textId="77777777" w:rsidR="00617B56" w:rsidRPr="00617B56" w:rsidRDefault="00617B56" w:rsidP="00617B56">
      <w:pPr>
        <w:pStyle w:val="NoSpacing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617B5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en-US"/>
        </w:rPr>
        <w:t>This project is funded in part by the Governments of Canada and Ontario under the Sustainable</w:t>
      </w:r>
    </w:p>
    <w:p w14:paraId="3E6A70C7" w14:textId="77777777" w:rsidR="00617B56" w:rsidRPr="00617B56" w:rsidRDefault="00617B56" w:rsidP="00617B56">
      <w:pPr>
        <w:pStyle w:val="NoSpacing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617B5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en-US"/>
        </w:rPr>
        <w:t>Canadian Agricultural Partnership, a federal-provincial-territorial initiative.</w:t>
      </w:r>
    </w:p>
    <w:p w14:paraId="4EFE0506" w14:textId="77777777" w:rsidR="00665521" w:rsidRPr="00F14135" w:rsidRDefault="00665521" w:rsidP="00E926EE">
      <w:pPr>
        <w:pStyle w:val="NoSpacing"/>
        <w:jc w:val="center"/>
        <w:rPr>
          <w:rStyle w:val="Emphasis"/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14:paraId="454A4BFF" w14:textId="1D220F78" w:rsidR="00665521" w:rsidRPr="00656759" w:rsidRDefault="00656759" w:rsidP="00656759">
      <w:pPr>
        <w:pStyle w:val="NoSpacing"/>
        <w:jc w:val="center"/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6759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Published at </w:t>
      </w:r>
      <w:r w:rsidRPr="00656759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http://tbfarminfo.org/what-is-new-at-luars-this-year-2025-dr-tarlok-singh-sahota-cca/</w:t>
      </w:r>
      <w:r w:rsidRPr="00656759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on July 15, 2025!</w:t>
      </w:r>
    </w:p>
    <w:p w14:paraId="449ADCB2" w14:textId="77777777" w:rsidR="00665521" w:rsidRDefault="00665521" w:rsidP="00256D33">
      <w:pPr>
        <w:pStyle w:val="NoSpacing"/>
        <w:jc w:val="both"/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</w:pPr>
    </w:p>
    <w:p w14:paraId="2DEF3EB1" w14:textId="1FCFF9F7" w:rsidR="00665521" w:rsidRDefault="00236DE2" w:rsidP="00236DE2">
      <w:pPr>
        <w:pStyle w:val="NoSpacing"/>
        <w:tabs>
          <w:tab w:val="left" w:pos="5244"/>
        </w:tabs>
        <w:jc w:val="both"/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lastRenderedPageBreak/>
        <w:tab/>
      </w:r>
    </w:p>
    <w:p w14:paraId="3F6F7C1A" w14:textId="77777777" w:rsidR="00665521" w:rsidRDefault="00665521" w:rsidP="00256D33">
      <w:pPr>
        <w:pStyle w:val="NoSpacing"/>
        <w:jc w:val="both"/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</w:pPr>
    </w:p>
    <w:p w14:paraId="0D67C386" w14:textId="77777777" w:rsidR="00665521" w:rsidRDefault="00665521" w:rsidP="00256D33">
      <w:pPr>
        <w:pStyle w:val="NoSpacing"/>
        <w:jc w:val="both"/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</w:pPr>
    </w:p>
    <w:p w14:paraId="04A28BE6" w14:textId="77777777" w:rsidR="00FF5A2C" w:rsidRDefault="00FF5A2C" w:rsidP="00256D33">
      <w:pPr>
        <w:pStyle w:val="NoSpacing"/>
        <w:jc w:val="both"/>
        <w:rPr>
          <w:rStyle w:val="Emphasis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</w:pPr>
    </w:p>
    <w:p w14:paraId="3BF00862" w14:textId="77777777" w:rsidR="00F26DCB" w:rsidRDefault="00F26DCB" w:rsidP="00256D33">
      <w:pPr>
        <w:pStyle w:val="NoSpacing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F26D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33"/>
    <w:rsid w:val="00023DFF"/>
    <w:rsid w:val="00091FD5"/>
    <w:rsid w:val="00153914"/>
    <w:rsid w:val="001748EE"/>
    <w:rsid w:val="00236DE2"/>
    <w:rsid w:val="00256D33"/>
    <w:rsid w:val="00292CAF"/>
    <w:rsid w:val="002B464E"/>
    <w:rsid w:val="002B5173"/>
    <w:rsid w:val="00322246"/>
    <w:rsid w:val="00346383"/>
    <w:rsid w:val="00397289"/>
    <w:rsid w:val="00417939"/>
    <w:rsid w:val="004418D5"/>
    <w:rsid w:val="00454B0A"/>
    <w:rsid w:val="004B02C3"/>
    <w:rsid w:val="00562AC3"/>
    <w:rsid w:val="0057019A"/>
    <w:rsid w:val="00602A15"/>
    <w:rsid w:val="00617B56"/>
    <w:rsid w:val="00656759"/>
    <w:rsid w:val="00665521"/>
    <w:rsid w:val="00666CC3"/>
    <w:rsid w:val="00694740"/>
    <w:rsid w:val="00695FC3"/>
    <w:rsid w:val="006E0322"/>
    <w:rsid w:val="00747E00"/>
    <w:rsid w:val="007908A0"/>
    <w:rsid w:val="00792FF3"/>
    <w:rsid w:val="007A7636"/>
    <w:rsid w:val="0087755A"/>
    <w:rsid w:val="0091176E"/>
    <w:rsid w:val="00943D5F"/>
    <w:rsid w:val="009C64FF"/>
    <w:rsid w:val="00A4759A"/>
    <w:rsid w:val="00A6191F"/>
    <w:rsid w:val="00A7591C"/>
    <w:rsid w:val="00AF444F"/>
    <w:rsid w:val="00BD34D8"/>
    <w:rsid w:val="00CB3C96"/>
    <w:rsid w:val="00CE404D"/>
    <w:rsid w:val="00CF6A4C"/>
    <w:rsid w:val="00D659E7"/>
    <w:rsid w:val="00D830DD"/>
    <w:rsid w:val="00E15A4A"/>
    <w:rsid w:val="00E926EE"/>
    <w:rsid w:val="00EF1513"/>
    <w:rsid w:val="00F07A69"/>
    <w:rsid w:val="00F14135"/>
    <w:rsid w:val="00F26DCB"/>
    <w:rsid w:val="00F440A2"/>
    <w:rsid w:val="00F53F6C"/>
    <w:rsid w:val="00FD6548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C11A"/>
  <w15:chartTrackingRefBased/>
  <w15:docId w15:val="{3A54A10F-4EFA-4CE1-A7E6-6CF79E6F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D3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22246"/>
    <w:rPr>
      <w:b/>
      <w:bCs/>
    </w:rPr>
  </w:style>
  <w:style w:type="character" w:styleId="Emphasis">
    <w:name w:val="Emphasis"/>
    <w:basedOn w:val="DefaultParagraphFont"/>
    <w:uiPriority w:val="20"/>
    <w:qFormat/>
    <w:rsid w:val="00322246"/>
    <w:rPr>
      <w:i/>
      <w:iCs/>
    </w:rPr>
  </w:style>
  <w:style w:type="character" w:styleId="Hyperlink">
    <w:name w:val="Hyperlink"/>
    <w:basedOn w:val="DefaultParagraphFont"/>
    <w:uiPriority w:val="99"/>
    <w:unhideWhenUsed/>
    <w:rsid w:val="00F26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18077071987</dc:creator>
  <cp:keywords/>
  <dc:description/>
  <cp:lastModifiedBy>tarloksinghsahota@gmail.com</cp:lastModifiedBy>
  <cp:revision>25</cp:revision>
  <dcterms:created xsi:type="dcterms:W3CDTF">2025-07-15T12:41:00Z</dcterms:created>
  <dcterms:modified xsi:type="dcterms:W3CDTF">2025-07-16T13:37:00Z</dcterms:modified>
</cp:coreProperties>
</file>