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6229EE25"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CA5583">
        <w:rPr>
          <w:rFonts w:ascii="Arial" w:hAnsi="Arial" w:cs="Arial"/>
          <w:color w:val="auto"/>
        </w:rPr>
        <w:t>C</w:t>
      </w:r>
      <w:r w:rsidR="00D31FDF" w:rsidRPr="00CA5583">
        <w:rPr>
          <w:rFonts w:ascii="Arial" w:hAnsi="Arial" w:cs="Arial"/>
          <w:color w:val="auto"/>
        </w:rPr>
        <w:t>ycl</w:t>
      </w:r>
      <w:r w:rsidR="004E0E87" w:rsidRPr="00CA5583">
        <w:rPr>
          <w:rFonts w:ascii="Arial" w:hAnsi="Arial" w:cs="Arial"/>
          <w:color w:val="auto"/>
        </w:rPr>
        <w:t>ic</w:t>
      </w:r>
      <w:r w:rsidR="00D31FDF" w:rsidRPr="00CA5583">
        <w:rPr>
          <w:rFonts w:ascii="Arial" w:hAnsi="Arial" w:cs="Arial"/>
          <w:color w:val="auto"/>
        </w:rPr>
        <w:t>al</w:t>
      </w:r>
      <w:r w:rsidRPr="00CA5583">
        <w:rPr>
          <w:rFonts w:ascii="Arial" w:hAnsi="Arial" w:cs="Arial"/>
          <w:color w:val="auto"/>
        </w:rPr>
        <w:t xml:space="preserve"> </w:t>
      </w:r>
      <w:r w:rsidR="00455B62" w:rsidRPr="00CA5583">
        <w:rPr>
          <w:rFonts w:ascii="Arial" w:hAnsi="Arial" w:cs="Arial"/>
          <w:color w:val="auto"/>
        </w:rPr>
        <w:t>U</w:t>
      </w:r>
      <w:r w:rsidR="00D31FDF" w:rsidRPr="00CA5583">
        <w:rPr>
          <w:rFonts w:ascii="Arial" w:hAnsi="Arial" w:cs="Arial"/>
          <w:color w:val="auto"/>
        </w:rPr>
        <w:t>ndergraduate</w:t>
      </w:r>
      <w:r w:rsidR="00CA5583" w:rsidRPr="00CA5583">
        <w:rPr>
          <w:rFonts w:ascii="Arial" w:hAnsi="Arial" w:cs="Arial"/>
          <w:color w:val="auto"/>
        </w:rPr>
        <w:t xml:space="preserve"> </w:t>
      </w:r>
      <w:r w:rsidR="00CA5583">
        <w:rPr>
          <w:rFonts w:ascii="Arial" w:hAnsi="Arial" w:cs="Arial"/>
          <w:color w:val="auto"/>
        </w:rPr>
        <w:t>and</w:t>
      </w:r>
      <w:r w:rsidR="00CA5583" w:rsidRPr="00CA5583">
        <w:rPr>
          <w:rFonts w:ascii="Arial" w:hAnsi="Arial" w:cs="Arial"/>
          <w:color w:val="auto"/>
        </w:rPr>
        <w:t xml:space="preserve"> </w:t>
      </w:r>
      <w:r w:rsidR="006D1D95" w:rsidRPr="00CA5583">
        <w:rPr>
          <w:rFonts w:ascii="Arial" w:hAnsi="Arial" w:cs="Arial"/>
          <w:color w:val="auto"/>
        </w:rPr>
        <w:t>Graduate</w:t>
      </w:r>
      <w:r w:rsidR="00D31FDF" w:rsidRPr="00E60DA6">
        <w:rPr>
          <w:rFonts w:ascii="Arial" w:hAnsi="Arial" w:cs="Arial"/>
          <w:color w:val="auto"/>
        </w:rPr>
        <w:t xml:space="preserv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6CCF0563" w:rsidR="005D1E6E" w:rsidRPr="00E60DA6" w:rsidRDefault="00CA5583" w:rsidP="00FC0394">
      <w:pPr>
        <w:pStyle w:val="Heading2"/>
        <w:rPr>
          <w:rFonts w:ascii="Arial" w:hAnsi="Arial" w:cs="Arial"/>
          <w:color w:val="auto"/>
        </w:rPr>
      </w:pPr>
      <w:r>
        <w:rPr>
          <w:rFonts w:ascii="Arial" w:hAnsi="Arial" w:cs="Arial"/>
          <w:color w:val="auto"/>
        </w:rPr>
        <w:t>Department of Sociology</w:t>
      </w:r>
    </w:p>
    <w:p w14:paraId="2A75FA0B" w14:textId="0CE9AE1E" w:rsidR="00596C82" w:rsidRPr="00E60DA6" w:rsidRDefault="00B37A2C" w:rsidP="00FC0394">
      <w:pPr>
        <w:pStyle w:val="Heading2"/>
        <w:rPr>
          <w:rFonts w:ascii="Arial" w:hAnsi="Arial" w:cs="Arial"/>
          <w:color w:val="auto"/>
        </w:rPr>
      </w:pPr>
      <w:r w:rsidRPr="00CA5583">
        <w:rPr>
          <w:rFonts w:ascii="Arial" w:hAnsi="Arial" w:cs="Arial"/>
          <w:color w:val="auto"/>
        </w:rPr>
        <w:t>Faculty</w:t>
      </w:r>
      <w:r w:rsidR="00CA5583">
        <w:rPr>
          <w:rFonts w:ascii="Arial" w:hAnsi="Arial" w:cs="Arial"/>
          <w:color w:val="auto"/>
        </w:rPr>
        <w:t xml:space="preserve"> of Social Sciences and Humanities</w:t>
      </w:r>
    </w:p>
    <w:p w14:paraId="78AF272F" w14:textId="652EE84D" w:rsidR="005D1E6E" w:rsidRPr="00E60DA6" w:rsidRDefault="00CA5583" w:rsidP="00FC0394">
      <w:pPr>
        <w:pStyle w:val="Heading2"/>
        <w:rPr>
          <w:rFonts w:ascii="Arial" w:hAnsi="Arial" w:cs="Arial"/>
          <w:color w:val="auto"/>
        </w:rPr>
      </w:pPr>
      <w:r>
        <w:rPr>
          <w:rFonts w:ascii="Arial" w:hAnsi="Arial" w:cs="Arial"/>
          <w:color w:val="auto"/>
        </w:rPr>
        <w:t>April 21, 2026</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4B4FB4EC" w14:textId="115AA378" w:rsidR="009E5A22" w:rsidRDefault="009E5A22" w:rsidP="009E5A22">
      <w:pPr>
        <w:pStyle w:val="Standard"/>
        <w:rPr>
          <w:rFonts w:ascii="Arial" w:hAnsi="Arial" w:cs="Arial"/>
        </w:rPr>
      </w:pPr>
      <w:r>
        <w:rPr>
          <w:rFonts w:ascii="Arial" w:hAnsi="Arial" w:cs="Arial"/>
        </w:rPr>
        <w:t>Undergraduate Programs</w:t>
      </w:r>
    </w:p>
    <w:p w14:paraId="18C65062" w14:textId="3577ADB4" w:rsidR="009E5A22" w:rsidRPr="009E5A22" w:rsidRDefault="009E5A22" w:rsidP="009E5A22">
      <w:pPr>
        <w:pStyle w:val="Standard"/>
        <w:numPr>
          <w:ilvl w:val="0"/>
          <w:numId w:val="16"/>
        </w:numPr>
        <w:rPr>
          <w:rFonts w:ascii="Arial" w:hAnsi="Arial" w:cs="Arial"/>
        </w:rPr>
      </w:pPr>
      <w:r w:rsidRPr="009E5A22">
        <w:rPr>
          <w:rFonts w:ascii="Arial" w:hAnsi="Arial" w:cs="Arial"/>
        </w:rPr>
        <w:t>Sociology, Bachelor of Arts (3 Years)</w:t>
      </w:r>
    </w:p>
    <w:p w14:paraId="0B068A29" w14:textId="77777777" w:rsidR="009E5A22" w:rsidRPr="009E5A22" w:rsidRDefault="009E5A22" w:rsidP="009E5A22">
      <w:pPr>
        <w:pStyle w:val="Standard"/>
        <w:numPr>
          <w:ilvl w:val="0"/>
          <w:numId w:val="16"/>
        </w:numPr>
        <w:rPr>
          <w:rFonts w:ascii="Arial" w:hAnsi="Arial" w:cs="Arial"/>
        </w:rPr>
      </w:pPr>
      <w:r w:rsidRPr="009E5A22">
        <w:rPr>
          <w:rFonts w:ascii="Arial" w:hAnsi="Arial" w:cs="Arial"/>
        </w:rPr>
        <w:t>Sociology, Honours Bachelor of Arts (4 Years)</w:t>
      </w:r>
    </w:p>
    <w:p w14:paraId="14EEF01C" w14:textId="77777777" w:rsidR="009E5A22" w:rsidRPr="009E5A22" w:rsidRDefault="009E5A22" w:rsidP="009E5A22">
      <w:pPr>
        <w:pStyle w:val="Standard"/>
        <w:numPr>
          <w:ilvl w:val="0"/>
          <w:numId w:val="16"/>
        </w:numPr>
        <w:rPr>
          <w:rFonts w:ascii="Arial" w:hAnsi="Arial" w:cs="Arial"/>
        </w:rPr>
      </w:pPr>
      <w:r w:rsidRPr="009E5A22">
        <w:rPr>
          <w:rFonts w:ascii="Arial" w:hAnsi="Arial" w:cs="Arial"/>
        </w:rPr>
        <w:t>History and Sociology, Honours Bachelor of Arts (4 Years)</w:t>
      </w:r>
    </w:p>
    <w:p w14:paraId="2D7E11E7" w14:textId="77777777" w:rsidR="009E5A22" w:rsidRPr="009E5A22" w:rsidRDefault="009E5A22" w:rsidP="009E5A22">
      <w:pPr>
        <w:pStyle w:val="Standard"/>
        <w:numPr>
          <w:ilvl w:val="0"/>
          <w:numId w:val="16"/>
        </w:numPr>
        <w:rPr>
          <w:rFonts w:ascii="Arial" w:hAnsi="Arial" w:cs="Arial"/>
        </w:rPr>
      </w:pPr>
      <w:r w:rsidRPr="009E5A22">
        <w:rPr>
          <w:rFonts w:ascii="Arial" w:hAnsi="Arial" w:cs="Arial"/>
        </w:rPr>
        <w:t>Sociology and Gender &amp; Women's Studies, Honours Bachelor of Arts (4 Years)</w:t>
      </w:r>
    </w:p>
    <w:p w14:paraId="58819971" w14:textId="77777777" w:rsidR="009E5A22" w:rsidRPr="009E5A22" w:rsidRDefault="009E5A22" w:rsidP="009E5A22">
      <w:pPr>
        <w:pStyle w:val="Standard"/>
        <w:numPr>
          <w:ilvl w:val="0"/>
          <w:numId w:val="16"/>
        </w:numPr>
        <w:rPr>
          <w:rFonts w:ascii="Arial" w:hAnsi="Arial" w:cs="Arial"/>
        </w:rPr>
      </w:pPr>
      <w:r w:rsidRPr="009E5A22">
        <w:rPr>
          <w:rFonts w:ascii="Arial" w:hAnsi="Arial" w:cs="Arial"/>
        </w:rPr>
        <w:t>Sociology, Bachelor of Arts/Bachelor of Education, Primary/Junior (5 Years)</w:t>
      </w:r>
    </w:p>
    <w:p w14:paraId="22FB1751" w14:textId="7EE86BAC" w:rsidR="00E60DA6" w:rsidRDefault="009E5A22" w:rsidP="009E5A22">
      <w:pPr>
        <w:pStyle w:val="Standard"/>
        <w:numPr>
          <w:ilvl w:val="0"/>
          <w:numId w:val="16"/>
        </w:numPr>
        <w:rPr>
          <w:rFonts w:ascii="Arial" w:hAnsi="Arial" w:cs="Arial"/>
        </w:rPr>
      </w:pPr>
      <w:r w:rsidRPr="009E5A22">
        <w:rPr>
          <w:rFonts w:ascii="Arial" w:hAnsi="Arial" w:cs="Arial"/>
        </w:rPr>
        <w:t>Sociology, Honours Bachelor of Arts/Bachelor of Education, Primary/Junior (6 Years)</w:t>
      </w:r>
    </w:p>
    <w:p w14:paraId="6FB837EB" w14:textId="77777777" w:rsidR="009E5A22" w:rsidRDefault="009E5A22" w:rsidP="009E5A22">
      <w:pPr>
        <w:pStyle w:val="Standard"/>
        <w:rPr>
          <w:rFonts w:ascii="Arial" w:hAnsi="Arial" w:cs="Arial"/>
        </w:rPr>
      </w:pPr>
    </w:p>
    <w:p w14:paraId="6123DE98" w14:textId="0501B448" w:rsidR="009E5A22" w:rsidRDefault="009E5A22" w:rsidP="009E5A22">
      <w:pPr>
        <w:pStyle w:val="Standard"/>
        <w:rPr>
          <w:rFonts w:ascii="Arial" w:hAnsi="Arial" w:cs="Arial"/>
        </w:rPr>
      </w:pPr>
      <w:r>
        <w:rPr>
          <w:rFonts w:ascii="Arial" w:hAnsi="Arial" w:cs="Arial"/>
        </w:rPr>
        <w:t>Graduate Programs:</w:t>
      </w:r>
    </w:p>
    <w:p w14:paraId="510DAF9F" w14:textId="244AA2E7" w:rsidR="009E5A22" w:rsidRPr="009E5A22" w:rsidRDefault="009E5A22" w:rsidP="009E5A22">
      <w:pPr>
        <w:pStyle w:val="Standard"/>
        <w:numPr>
          <w:ilvl w:val="0"/>
          <w:numId w:val="17"/>
        </w:numPr>
        <w:rPr>
          <w:rFonts w:ascii="Arial" w:hAnsi="Arial" w:cs="Arial"/>
        </w:rPr>
      </w:pPr>
      <w:r w:rsidRPr="009E5A22">
        <w:rPr>
          <w:rFonts w:ascii="Arial" w:hAnsi="Arial" w:cs="Arial"/>
        </w:rPr>
        <w:t xml:space="preserve">Master of Arts in Sociology (Course Option) </w:t>
      </w:r>
    </w:p>
    <w:p w14:paraId="1517434D" w14:textId="6DE4C7CE" w:rsidR="009E5A22" w:rsidRPr="009E5A22" w:rsidRDefault="009E5A22" w:rsidP="009E5A22">
      <w:pPr>
        <w:pStyle w:val="Standard"/>
        <w:numPr>
          <w:ilvl w:val="0"/>
          <w:numId w:val="17"/>
        </w:numPr>
        <w:rPr>
          <w:rFonts w:ascii="Arial" w:hAnsi="Arial" w:cs="Arial"/>
        </w:rPr>
      </w:pPr>
      <w:r w:rsidRPr="009E5A22">
        <w:rPr>
          <w:rFonts w:ascii="Arial" w:hAnsi="Arial" w:cs="Arial"/>
        </w:rPr>
        <w:t xml:space="preserve">Master of Arts in Sociology (Thesis Option) </w:t>
      </w:r>
    </w:p>
    <w:p w14:paraId="387DA0F6" w14:textId="401B6B35" w:rsidR="009E5A22" w:rsidRPr="009E5A22" w:rsidRDefault="009E5A22" w:rsidP="009E5A22">
      <w:pPr>
        <w:pStyle w:val="Standard"/>
        <w:numPr>
          <w:ilvl w:val="0"/>
          <w:numId w:val="17"/>
        </w:numPr>
        <w:rPr>
          <w:rFonts w:ascii="Arial" w:hAnsi="Arial" w:cs="Arial"/>
        </w:rPr>
      </w:pPr>
      <w:r w:rsidRPr="009E5A22">
        <w:rPr>
          <w:rFonts w:ascii="Arial" w:hAnsi="Arial" w:cs="Arial"/>
        </w:rPr>
        <w:t xml:space="preserve">Master of Arts in Sociology (Specialization in Gender and Women’s Studies) (Course Option) </w:t>
      </w:r>
    </w:p>
    <w:p w14:paraId="4694DBDA" w14:textId="31896563" w:rsidR="009E5A22" w:rsidRPr="009E5A22" w:rsidRDefault="009E5A22" w:rsidP="009E5A22">
      <w:pPr>
        <w:pStyle w:val="Standard"/>
        <w:numPr>
          <w:ilvl w:val="0"/>
          <w:numId w:val="17"/>
        </w:numPr>
        <w:rPr>
          <w:rFonts w:ascii="Arial" w:hAnsi="Arial" w:cs="Arial"/>
        </w:rPr>
      </w:pPr>
      <w:r w:rsidRPr="009E5A22">
        <w:rPr>
          <w:rFonts w:ascii="Arial" w:hAnsi="Arial" w:cs="Arial"/>
        </w:rPr>
        <w:t xml:space="preserve">Master of Arts in Sociology (Specialization in Gender and Women's Studies) (Thesis Option) </w:t>
      </w:r>
    </w:p>
    <w:p w14:paraId="57C315E8" w14:textId="6B6F7782" w:rsidR="009E5A22" w:rsidRPr="009E5A22" w:rsidRDefault="009E5A22" w:rsidP="009E5A22">
      <w:pPr>
        <w:pStyle w:val="Standard"/>
        <w:numPr>
          <w:ilvl w:val="0"/>
          <w:numId w:val="17"/>
        </w:numPr>
        <w:rPr>
          <w:rFonts w:ascii="Arial" w:hAnsi="Arial" w:cs="Arial"/>
        </w:rPr>
      </w:pPr>
      <w:r w:rsidRPr="009E5A22">
        <w:rPr>
          <w:rFonts w:ascii="Arial" w:hAnsi="Arial" w:cs="Arial"/>
        </w:rPr>
        <w:t xml:space="preserve">Master of Arts in Sociology (Specialization in Gerontology) (Course Option) </w:t>
      </w:r>
    </w:p>
    <w:p w14:paraId="722C4BB5" w14:textId="3E87D02E" w:rsidR="009E5A22" w:rsidRPr="009E5A22" w:rsidRDefault="009E5A22" w:rsidP="009E5A22">
      <w:pPr>
        <w:pStyle w:val="Standard"/>
        <w:numPr>
          <w:ilvl w:val="0"/>
          <w:numId w:val="17"/>
        </w:numPr>
        <w:rPr>
          <w:rFonts w:ascii="Arial" w:hAnsi="Arial" w:cs="Arial"/>
        </w:rPr>
      </w:pPr>
      <w:r w:rsidRPr="009E5A22">
        <w:rPr>
          <w:rFonts w:ascii="Arial" w:hAnsi="Arial" w:cs="Arial"/>
        </w:rPr>
        <w:t xml:space="preserve">Master of Arts in Sociology (Specialization in Gerontology) (Thesis Option) </w:t>
      </w:r>
    </w:p>
    <w:p w14:paraId="28614435" w14:textId="3707ED44" w:rsidR="009E5A22" w:rsidRPr="009E5A22" w:rsidRDefault="009E5A22" w:rsidP="009E5A22">
      <w:pPr>
        <w:pStyle w:val="Standard"/>
        <w:numPr>
          <w:ilvl w:val="0"/>
          <w:numId w:val="17"/>
        </w:numPr>
        <w:rPr>
          <w:rFonts w:ascii="Arial" w:hAnsi="Arial" w:cs="Arial"/>
        </w:rPr>
      </w:pPr>
      <w:r w:rsidRPr="009E5A22">
        <w:rPr>
          <w:rFonts w:ascii="Arial" w:hAnsi="Arial" w:cs="Arial"/>
        </w:rPr>
        <w:t>Master of Arts in Sociology (Specialization in Social Justice Studies) (Course Option)</w:t>
      </w:r>
    </w:p>
    <w:p w14:paraId="4B2D0FD8" w14:textId="5E73B164" w:rsidR="009E5A22" w:rsidRDefault="009E5A22" w:rsidP="009E5A22">
      <w:pPr>
        <w:pStyle w:val="Standard"/>
        <w:numPr>
          <w:ilvl w:val="0"/>
          <w:numId w:val="17"/>
        </w:numPr>
        <w:rPr>
          <w:rFonts w:ascii="Arial" w:hAnsi="Arial" w:cs="Arial"/>
        </w:rPr>
      </w:pPr>
      <w:r w:rsidRPr="009E5A22">
        <w:rPr>
          <w:rFonts w:ascii="Arial" w:hAnsi="Arial" w:cs="Arial"/>
        </w:rPr>
        <w:t>Master of Arts in Sociology (Specialization in Social Justice Studies) (Thesis Option)</w:t>
      </w:r>
    </w:p>
    <w:p w14:paraId="4CE41902" w14:textId="77777777" w:rsidR="009E5A22" w:rsidRDefault="009E5A22" w:rsidP="009E5A22">
      <w:pPr>
        <w:pStyle w:val="Standard"/>
      </w:pPr>
    </w:p>
    <w:p w14:paraId="15BA44C9" w14:textId="77777777" w:rsidR="00E60DA6" w:rsidRDefault="00E60DA6" w:rsidP="00E60DA6">
      <w:pPr>
        <w:pStyle w:val="Standard"/>
        <w:rPr>
          <w:rFonts w:ascii="Arial" w:hAnsi="Arial" w:cs="Arial"/>
        </w:rPr>
      </w:pPr>
    </w:p>
    <w:p w14:paraId="02F52879" w14:textId="41E6D40D" w:rsidR="00FC0394" w:rsidRDefault="00FC0394" w:rsidP="00FC0394">
      <w:pPr>
        <w:pStyle w:val="Heading3"/>
      </w:pPr>
      <w:r>
        <w:t>Executive Summary</w:t>
      </w:r>
    </w:p>
    <w:p w14:paraId="727F2112" w14:textId="5CDB0446"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455B62" w:rsidRPr="009E5A22">
        <w:rPr>
          <w:rFonts w:ascii="Arial" w:hAnsi="Arial" w:cs="Arial"/>
          <w:sz w:val="24"/>
          <w:szCs w:val="24"/>
        </w:rPr>
        <w:t>Department</w:t>
      </w:r>
      <w:r w:rsidR="009E5A22">
        <w:rPr>
          <w:rFonts w:ascii="Arial" w:hAnsi="Arial" w:cs="Arial"/>
          <w:sz w:val="24"/>
          <w:szCs w:val="24"/>
        </w:rPr>
        <w:t xml:space="preserve"> of Sociology</w:t>
      </w:r>
      <w:r w:rsidR="00455B62" w:rsidRPr="00E60DA6">
        <w:rPr>
          <w:rFonts w:ascii="Arial" w:hAnsi="Arial" w:cs="Arial"/>
          <w:sz w:val="24"/>
          <w:szCs w:val="24"/>
        </w:rPr>
        <w:t xml:space="preserve"> </w:t>
      </w:r>
      <w:r w:rsidRPr="00E60DA6">
        <w:rPr>
          <w:rFonts w:ascii="Arial" w:hAnsi="Arial" w:cs="Arial"/>
          <w:sz w:val="24"/>
          <w:szCs w:val="24"/>
        </w:rPr>
        <w:t>submitted a self-study (</w:t>
      </w:r>
      <w:r w:rsidR="009E5A22">
        <w:rPr>
          <w:rFonts w:ascii="Arial" w:hAnsi="Arial" w:cs="Arial"/>
          <w:sz w:val="24"/>
          <w:szCs w:val="24"/>
        </w:rPr>
        <w:t>October 2021</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the </w:t>
      </w:r>
      <w:r w:rsidR="003D5F24" w:rsidRPr="009E5A22">
        <w:rPr>
          <w:rFonts w:ascii="Arial" w:hAnsi="Arial" w:cs="Arial"/>
          <w:sz w:val="24"/>
          <w:szCs w:val="24"/>
        </w:rPr>
        <w:t>undergraduate</w:t>
      </w:r>
      <w:r w:rsidR="009E5A22" w:rsidRPr="009E5A22">
        <w:rPr>
          <w:rFonts w:ascii="Arial" w:hAnsi="Arial" w:cs="Arial"/>
          <w:sz w:val="24"/>
          <w:szCs w:val="24"/>
        </w:rPr>
        <w:t xml:space="preserve"> and </w:t>
      </w:r>
      <w:r w:rsidR="006D1D95" w:rsidRPr="009E5A22">
        <w:rPr>
          <w:rFonts w:ascii="Arial" w:hAnsi="Arial" w:cs="Arial"/>
          <w:sz w:val="24"/>
          <w:szCs w:val="24"/>
        </w:rPr>
        <w:t>graduate</w:t>
      </w:r>
      <w:r w:rsidR="003D5F24" w:rsidRPr="00E60DA6">
        <w:rPr>
          <w:rFonts w:ascii="Arial" w:hAnsi="Arial" w:cs="Arial"/>
          <w:sz w:val="24"/>
          <w:szCs w:val="24"/>
        </w:rPr>
        <w:t xml:space="preserv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lastRenderedPageBreak/>
        <w:t xml:space="preserve">information and statistical data. Volume II provided course syllabi. </w:t>
      </w:r>
      <w:r w:rsidR="00D262EE" w:rsidRPr="00E60DA6">
        <w:rPr>
          <w:rFonts w:ascii="Arial" w:hAnsi="Arial" w:cs="Arial"/>
          <w:sz w:val="24"/>
          <w:szCs w:val="24"/>
        </w:rPr>
        <w:t xml:space="preserve">Volume III provided the CVs for core </w:t>
      </w:r>
      <w:r w:rsidR="00D262EE" w:rsidRPr="009E5A22">
        <w:rPr>
          <w:rFonts w:ascii="Arial" w:hAnsi="Arial" w:cs="Arial"/>
          <w:sz w:val="24"/>
          <w:szCs w:val="24"/>
        </w:rPr>
        <w:t>faculty and contract lecturer</w:t>
      </w:r>
      <w:r w:rsidR="00B37A2C" w:rsidRPr="009E5A22">
        <w:rPr>
          <w:rFonts w:ascii="Arial" w:hAnsi="Arial" w:cs="Arial"/>
          <w:sz w:val="24"/>
          <w:szCs w:val="24"/>
        </w:rPr>
        <w:t>s</w:t>
      </w:r>
      <w:r w:rsidR="00D262EE" w:rsidRPr="00E60DA6">
        <w:rPr>
          <w:rFonts w:ascii="Arial" w:hAnsi="Arial" w:cs="Arial"/>
          <w:sz w:val="24"/>
          <w:szCs w:val="24"/>
        </w:rPr>
        <w:t xml:space="preserve"> contributing to the delivery of the programs.</w:t>
      </w:r>
    </w:p>
    <w:p w14:paraId="752E29A3" w14:textId="77777777" w:rsidR="009E5A22" w:rsidRDefault="009E5A22" w:rsidP="00932F1E">
      <w:pPr>
        <w:spacing w:after="120" w:line="276" w:lineRule="auto"/>
        <w:rPr>
          <w:rFonts w:ascii="Arial" w:eastAsia="Times New Roman" w:hAnsi="Arial" w:cs="Arial"/>
          <w:sz w:val="24"/>
          <w:szCs w:val="24"/>
          <w:lang w:val="en-US"/>
        </w:rPr>
      </w:pPr>
      <w:r w:rsidRPr="009E5A22">
        <w:rPr>
          <w:rFonts w:ascii="Arial" w:eastAsia="Times New Roman" w:hAnsi="Arial" w:cs="Arial"/>
          <w:sz w:val="24"/>
          <w:szCs w:val="24"/>
          <w:lang w:val="en-US"/>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three-day virtual site visit on November 3 – November 5, 2021. The site visit included meetings with the Provost and Vice-President (Academic), Deputy Provost and Vice Provost (Teaching and Learning), Dean of Social Sciences and humanities, the Chair of the Department, the Dean of Graduate Studies, the Associate Vice-President (Research and Graduate Studies), the Vice-Provost (International), the Vice-Provost (Students) &amp; Registrar, the University Librarian and Liaison Librarian, full-time, tenure-track faculty members, a group of graduate and undergraduate students, and a group of alumni.  The Review Team was provided with a video tour of the Thunder Bay </w:t>
      </w:r>
      <w:proofErr w:type="gramStart"/>
      <w:r w:rsidRPr="009E5A22">
        <w:rPr>
          <w:rFonts w:ascii="Arial" w:eastAsia="Times New Roman" w:hAnsi="Arial" w:cs="Arial"/>
          <w:sz w:val="24"/>
          <w:szCs w:val="24"/>
          <w:lang w:val="en-US"/>
        </w:rPr>
        <w:t>campus,</w:t>
      </w:r>
      <w:proofErr w:type="gramEnd"/>
      <w:r w:rsidRPr="009E5A22">
        <w:rPr>
          <w:rFonts w:ascii="Arial" w:eastAsia="Times New Roman" w:hAnsi="Arial" w:cs="Arial"/>
          <w:sz w:val="24"/>
          <w:szCs w:val="24"/>
          <w:lang w:val="en-US"/>
        </w:rPr>
        <w:t xml:space="preserve"> however the Review Team was unable to establish a link to the tour. </w:t>
      </w:r>
    </w:p>
    <w:p w14:paraId="21673C09" w14:textId="4F6EC2F8" w:rsidR="00932F1E" w:rsidRPr="00E60DA6" w:rsidRDefault="00932F1E" w:rsidP="00932F1E">
      <w:pPr>
        <w:spacing w:after="120" w:line="276" w:lineRule="auto"/>
        <w:rPr>
          <w:rFonts w:ascii="Arial" w:hAnsi="Arial" w:cs="Arial"/>
          <w:color w:val="222222"/>
          <w:sz w:val="24"/>
          <w:szCs w:val="24"/>
          <w:shd w:val="clear" w:color="auto" w:fill="FFFFFF"/>
        </w:rPr>
      </w:pPr>
      <w:r w:rsidRPr="00E60DA6">
        <w:rPr>
          <w:rFonts w:ascii="Arial" w:hAnsi="Arial" w:cs="Arial"/>
          <w:sz w:val="24"/>
          <w:szCs w:val="24"/>
        </w:rPr>
        <w:t>In their report (</w:t>
      </w:r>
      <w:r w:rsidR="009E5A22">
        <w:rPr>
          <w:rFonts w:ascii="Arial" w:hAnsi="Arial" w:cs="Arial"/>
          <w:sz w:val="24"/>
          <w:szCs w:val="24"/>
        </w:rPr>
        <w:t>January 2022</w:t>
      </w:r>
      <w:r w:rsidRPr="00E60DA6">
        <w:rPr>
          <w:rFonts w:ascii="Arial" w:hAnsi="Arial" w:cs="Arial"/>
          <w:sz w:val="24"/>
          <w:szCs w:val="24"/>
        </w:rPr>
        <w:t xml:space="preserve">), the Review Team provided feedback that describes how the programs delivered by the </w:t>
      </w:r>
      <w:r w:rsidR="00B806A1" w:rsidRPr="009E5A22">
        <w:rPr>
          <w:rFonts w:ascii="Arial" w:hAnsi="Arial" w:cs="Arial"/>
          <w:sz w:val="24"/>
          <w:szCs w:val="24"/>
        </w:rPr>
        <w:t>Department</w:t>
      </w:r>
      <w:r w:rsidR="009E5A22">
        <w:rPr>
          <w:rFonts w:ascii="Arial" w:hAnsi="Arial" w:cs="Arial"/>
          <w:sz w:val="24"/>
          <w:szCs w:val="24"/>
        </w:rPr>
        <w:t xml:space="preserve"> of Sociology</w:t>
      </w:r>
      <w:r w:rsidR="00B37A2C">
        <w:rPr>
          <w:rFonts w:ascii="Arial" w:hAnsi="Arial" w:cs="Arial"/>
          <w:sz w:val="24"/>
          <w:szCs w:val="24"/>
        </w:rPr>
        <w:t xml:space="preserve"> </w:t>
      </w:r>
      <w:r w:rsidRPr="00E60DA6">
        <w:rPr>
          <w:rFonts w:ascii="Arial" w:hAnsi="Arial" w:cs="Arial"/>
          <w:sz w:val="24"/>
          <w:szCs w:val="24"/>
        </w:rPr>
        <w:t>meet the Quality Assurance Framework evaluation criteria and a</w:t>
      </w:r>
      <w:r w:rsidRPr="00E60DA6">
        <w:rPr>
          <w:rFonts w:ascii="Arial" w:hAnsi="Arial" w:cs="Arial"/>
          <w:color w:val="222222"/>
          <w:sz w:val="24"/>
          <w:szCs w:val="24"/>
          <w:shd w:val="clear" w:color="auto" w:fill="FFFFFF"/>
        </w:rPr>
        <w:t>lign with the University mission, strategic plan and academic plan. The Review Team note</w:t>
      </w:r>
      <w:r w:rsidR="007113B3" w:rsidRPr="00E60DA6">
        <w:rPr>
          <w:rFonts w:ascii="Arial" w:hAnsi="Arial" w:cs="Arial"/>
          <w:color w:val="222222"/>
          <w:sz w:val="24"/>
          <w:szCs w:val="24"/>
          <w:shd w:val="clear" w:color="auto" w:fill="FFFFFF"/>
        </w:rPr>
        <w:t>d</w:t>
      </w:r>
      <w:r w:rsidRPr="00E60DA6">
        <w:rPr>
          <w:rFonts w:ascii="Arial" w:hAnsi="Arial" w:cs="Arial"/>
          <w:color w:val="222222"/>
          <w:sz w:val="24"/>
          <w:szCs w:val="24"/>
          <w:shd w:val="clear" w:color="auto" w:fill="FFFFFF"/>
        </w:rPr>
        <w:t xml:space="preserve"> that the </w:t>
      </w:r>
      <w:r w:rsidRPr="00E60DA6">
        <w:rPr>
          <w:rFonts w:ascii="Arial" w:hAnsi="Arial" w:cs="Arial"/>
          <w:sz w:val="24"/>
          <w:szCs w:val="24"/>
        </w:rPr>
        <w:t xml:space="preserve">programs are of high quality and offer students a regionally connected and learner-centred experience supported by </w:t>
      </w:r>
      <w:r w:rsidR="00B806A1">
        <w:rPr>
          <w:rFonts w:ascii="Arial" w:hAnsi="Arial" w:cs="Arial"/>
          <w:sz w:val="24"/>
          <w:szCs w:val="24"/>
        </w:rPr>
        <w:t xml:space="preserve">the </w:t>
      </w:r>
      <w:r w:rsidR="00B806A1" w:rsidRPr="00B806A1">
        <w:rPr>
          <w:rFonts w:ascii="Arial" w:hAnsi="Arial" w:cs="Arial"/>
          <w:sz w:val="24"/>
          <w:szCs w:val="24"/>
        </w:rPr>
        <w:t xml:space="preserve">full-time faculty members and </w:t>
      </w:r>
      <w:r w:rsidR="00B806A1" w:rsidRPr="009E5A22">
        <w:rPr>
          <w:rFonts w:ascii="Arial" w:hAnsi="Arial" w:cs="Arial"/>
          <w:sz w:val="24"/>
          <w:szCs w:val="24"/>
        </w:rPr>
        <w:t xml:space="preserve">highly qualified </w:t>
      </w:r>
      <w:r w:rsidR="009E5A22">
        <w:rPr>
          <w:rFonts w:ascii="Arial" w:hAnsi="Arial" w:cs="Arial"/>
          <w:sz w:val="24"/>
          <w:szCs w:val="24"/>
        </w:rPr>
        <w:t>contract lecturers</w:t>
      </w:r>
      <w:r w:rsidR="00B806A1" w:rsidRPr="00B37A2C">
        <w:rPr>
          <w:rFonts w:ascii="Arial" w:hAnsi="Arial" w:cs="Arial"/>
          <w:sz w:val="24"/>
          <w:szCs w:val="24"/>
        </w:rPr>
        <w:t>.</w:t>
      </w:r>
    </w:p>
    <w:p w14:paraId="1076F838" w14:textId="7BDDCBC2"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t xml:space="preserve">At the </w:t>
      </w:r>
      <w:r w:rsidRPr="009E5A22">
        <w:rPr>
          <w:rFonts w:ascii="Arial" w:hAnsi="Arial" w:cs="Arial"/>
          <w:sz w:val="24"/>
          <w:szCs w:val="24"/>
        </w:rPr>
        <w:t>undergraduate</w:t>
      </w:r>
      <w:r w:rsidR="009E5A22" w:rsidRPr="009E5A22">
        <w:rPr>
          <w:rFonts w:ascii="Arial" w:hAnsi="Arial" w:cs="Arial"/>
          <w:sz w:val="24"/>
          <w:szCs w:val="24"/>
        </w:rPr>
        <w:t xml:space="preserve"> and </w:t>
      </w:r>
      <w:r w:rsidR="006D1D95" w:rsidRPr="009E5A22">
        <w:rPr>
          <w:rFonts w:ascii="Arial" w:hAnsi="Arial" w:cs="Arial"/>
          <w:sz w:val="24"/>
          <w:szCs w:val="24"/>
        </w:rPr>
        <w:t>graduate</w:t>
      </w:r>
      <w:r w:rsidRPr="00E60DA6">
        <w:rPr>
          <w:rFonts w:ascii="Arial" w:hAnsi="Arial" w:cs="Arial"/>
          <w:sz w:val="24"/>
          <w:szCs w:val="24"/>
        </w:rPr>
        <w:t xml:space="preserv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 xml:space="preserve">comparable programs across Canada at the </w:t>
      </w:r>
      <w:r w:rsidRPr="009E5A22">
        <w:rPr>
          <w:rFonts w:ascii="Arial" w:hAnsi="Arial" w:cs="Arial"/>
          <w:sz w:val="24"/>
          <w:szCs w:val="24"/>
        </w:rPr>
        <w:t>undergraduate</w:t>
      </w:r>
      <w:r w:rsidR="009E5A22" w:rsidRPr="009E5A22">
        <w:rPr>
          <w:rFonts w:ascii="Arial" w:hAnsi="Arial" w:cs="Arial"/>
          <w:sz w:val="24"/>
          <w:szCs w:val="24"/>
        </w:rPr>
        <w:t xml:space="preserve"> and </w:t>
      </w:r>
      <w:r w:rsidR="006D1D95" w:rsidRPr="009E5A22">
        <w:rPr>
          <w:rFonts w:ascii="Arial" w:hAnsi="Arial" w:cs="Arial"/>
          <w:sz w:val="24"/>
          <w:szCs w:val="24"/>
        </w:rPr>
        <w:t>graduate</w:t>
      </w:r>
      <w:r w:rsidRPr="00E60DA6">
        <w:rPr>
          <w:rFonts w:ascii="Arial" w:hAnsi="Arial" w:cs="Arial"/>
          <w:sz w:val="24"/>
          <w:szCs w:val="24"/>
        </w:rPr>
        <w:t xml:space="preserve"> level, reflect the current state of the discipline, and are effective in preparing graduates to meet defined program outcomes and the University’s </w:t>
      </w:r>
      <w:r w:rsidRPr="009E5A22">
        <w:rPr>
          <w:rFonts w:ascii="Arial" w:hAnsi="Arial" w:cs="Arial"/>
          <w:sz w:val="24"/>
          <w:szCs w:val="24"/>
        </w:rPr>
        <w:t>Undergraduate</w:t>
      </w:r>
      <w:r w:rsidR="009E5A22" w:rsidRPr="009E5A22">
        <w:rPr>
          <w:rFonts w:ascii="Arial" w:hAnsi="Arial" w:cs="Arial"/>
          <w:sz w:val="24"/>
          <w:szCs w:val="24"/>
        </w:rPr>
        <w:t xml:space="preserve"> and </w:t>
      </w:r>
      <w:r w:rsidR="006D1D95" w:rsidRPr="009E5A22">
        <w:rPr>
          <w:rFonts w:ascii="Arial" w:hAnsi="Arial" w:cs="Arial"/>
          <w:sz w:val="24"/>
          <w:szCs w:val="24"/>
        </w:rPr>
        <w:t>Graduate</w:t>
      </w:r>
      <w:r w:rsidRPr="00E60DA6">
        <w:rPr>
          <w:rFonts w:ascii="Arial" w:hAnsi="Arial" w:cs="Arial"/>
          <w:sz w:val="24"/>
          <w:szCs w:val="24"/>
        </w:rPr>
        <w:t xml:space="preserve"> Degree Level Expectations.  </w:t>
      </w:r>
      <w:r w:rsidR="00B806A1">
        <w:rPr>
          <w:rFonts w:ascii="Arial" w:hAnsi="Arial" w:cs="Arial"/>
          <w:sz w:val="24"/>
          <w:szCs w:val="24"/>
        </w:rPr>
        <w:br/>
      </w:r>
    </w:p>
    <w:p w14:paraId="7E37C1AD" w14:textId="49C76BB7" w:rsidR="00A23D06" w:rsidRPr="00E60DA6" w:rsidRDefault="00CC0D0F" w:rsidP="00B45BDD">
      <w:pPr>
        <w:spacing w:line="276" w:lineRule="auto"/>
        <w:rPr>
          <w:rFonts w:ascii="Arial" w:hAnsi="Arial" w:cs="Arial"/>
          <w:sz w:val="24"/>
          <w:szCs w:val="24"/>
        </w:rPr>
      </w:pPr>
      <w:r w:rsidRPr="009E5A22">
        <w:rPr>
          <w:rFonts w:ascii="Arial" w:hAnsi="Arial" w:cs="Arial"/>
          <w:sz w:val="24"/>
          <w:szCs w:val="24"/>
        </w:rPr>
        <w:t xml:space="preserve">The Review Team </w:t>
      </w:r>
      <w:r w:rsidR="00754B7B" w:rsidRPr="009E5A22">
        <w:rPr>
          <w:rFonts w:ascii="Arial" w:hAnsi="Arial" w:cs="Arial"/>
          <w:sz w:val="24"/>
          <w:szCs w:val="24"/>
        </w:rPr>
        <w:t xml:space="preserve">noted </w:t>
      </w:r>
      <w:r w:rsidR="007D41BC" w:rsidRPr="009E5A22">
        <w:rPr>
          <w:rFonts w:ascii="Arial" w:hAnsi="Arial" w:cs="Arial"/>
          <w:sz w:val="24"/>
          <w:szCs w:val="24"/>
        </w:rPr>
        <w:t>several</w:t>
      </w:r>
      <w:r w:rsidR="00A23D06" w:rsidRPr="009E5A22">
        <w:rPr>
          <w:rFonts w:ascii="Arial" w:hAnsi="Arial" w:cs="Arial"/>
          <w:sz w:val="24"/>
          <w:szCs w:val="24"/>
        </w:rPr>
        <w:t xml:space="preserve"> strengths of the </w:t>
      </w:r>
      <w:r w:rsidR="00B37A2C" w:rsidRPr="009E5A22">
        <w:rPr>
          <w:rFonts w:ascii="Arial" w:hAnsi="Arial" w:cs="Arial"/>
          <w:sz w:val="24"/>
          <w:szCs w:val="24"/>
        </w:rPr>
        <w:t>Department</w:t>
      </w:r>
      <w:r w:rsidR="009E5A22">
        <w:rPr>
          <w:rFonts w:ascii="Arial" w:hAnsi="Arial" w:cs="Arial"/>
          <w:sz w:val="24"/>
          <w:szCs w:val="24"/>
        </w:rPr>
        <w:t xml:space="preserve"> of Sociology</w:t>
      </w:r>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Pr="00E60DA6">
        <w:rPr>
          <w:rFonts w:ascii="Arial" w:hAnsi="Arial" w:cs="Arial"/>
          <w:sz w:val="24"/>
          <w:szCs w:val="24"/>
        </w:rPr>
        <w:t xml:space="preserve"> </w:t>
      </w:r>
      <w:r w:rsidR="00A23D06" w:rsidRPr="00E60DA6">
        <w:rPr>
          <w:rFonts w:ascii="Arial" w:hAnsi="Arial" w:cs="Arial"/>
          <w:sz w:val="24"/>
          <w:szCs w:val="24"/>
        </w:rPr>
        <w:t>as follows:</w:t>
      </w:r>
    </w:p>
    <w:p w14:paraId="5C99A114" w14:textId="7E789162" w:rsidR="003B3872" w:rsidRPr="009E5A22" w:rsidRDefault="009E5A22" w:rsidP="009E5A22">
      <w:pPr>
        <w:pStyle w:val="ListParagraph"/>
        <w:numPr>
          <w:ilvl w:val="0"/>
          <w:numId w:val="8"/>
        </w:numPr>
        <w:rPr>
          <w:rFonts w:ascii="Arial" w:hAnsi="Arial" w:cs="Arial"/>
          <w:sz w:val="24"/>
          <w:szCs w:val="24"/>
        </w:rPr>
      </w:pPr>
      <w:r w:rsidRPr="009E5A22">
        <w:rPr>
          <w:rFonts w:ascii="Arial" w:hAnsi="Arial" w:cs="Arial"/>
          <w:sz w:val="24"/>
          <w:szCs w:val="24"/>
        </w:rPr>
        <w:t>The undergraduate and graduate programs appear to be consistent with those found at other smaller institutions in Canada.</w:t>
      </w:r>
      <w:r w:rsidR="00B37A2C" w:rsidRPr="009E5A22">
        <w:rPr>
          <w:rFonts w:ascii="Arial" w:hAnsi="Arial" w:cs="Arial"/>
          <w:sz w:val="24"/>
          <w:szCs w:val="24"/>
        </w:rPr>
        <w:br/>
      </w:r>
    </w:p>
    <w:p w14:paraId="77DE8420" w14:textId="70CB0386"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t>Responses to the Review Team were received from t</w:t>
      </w:r>
      <w:r w:rsidR="005D1E6E" w:rsidRPr="00E60DA6">
        <w:rPr>
          <w:rFonts w:ascii="Arial" w:hAnsi="Arial" w:cs="Arial"/>
          <w:sz w:val="24"/>
          <w:szCs w:val="24"/>
        </w:rPr>
        <w:t xml:space="preserve">he </w:t>
      </w:r>
      <w:r w:rsidR="00B806A1">
        <w:rPr>
          <w:rFonts w:ascii="Arial" w:hAnsi="Arial" w:cs="Arial"/>
          <w:sz w:val="24"/>
          <w:szCs w:val="24"/>
        </w:rPr>
        <w:t xml:space="preserve">Chair of </w:t>
      </w:r>
      <w:r w:rsidR="00B806A1" w:rsidRPr="005C772E">
        <w:rPr>
          <w:rFonts w:ascii="Arial" w:hAnsi="Arial" w:cs="Arial"/>
          <w:sz w:val="24"/>
          <w:szCs w:val="24"/>
        </w:rPr>
        <w:t>the Department</w:t>
      </w:r>
      <w:r w:rsidR="005C772E">
        <w:rPr>
          <w:rFonts w:ascii="Arial" w:hAnsi="Arial" w:cs="Arial"/>
          <w:sz w:val="24"/>
          <w:szCs w:val="24"/>
        </w:rPr>
        <w:t xml:space="preserve"> of Sociology </w:t>
      </w:r>
      <w:r w:rsidRPr="00E60DA6">
        <w:rPr>
          <w:rFonts w:ascii="Arial" w:hAnsi="Arial" w:cs="Arial"/>
          <w:sz w:val="24"/>
          <w:szCs w:val="24"/>
        </w:rPr>
        <w:t>(</w:t>
      </w:r>
      <w:r w:rsidR="005C772E">
        <w:rPr>
          <w:rFonts w:ascii="Arial" w:hAnsi="Arial" w:cs="Arial"/>
          <w:sz w:val="24"/>
          <w:szCs w:val="24"/>
        </w:rPr>
        <w:t>March 2022</w:t>
      </w:r>
      <w:r w:rsidRPr="00E60DA6">
        <w:rPr>
          <w:rFonts w:ascii="Arial" w:hAnsi="Arial" w:cs="Arial"/>
          <w:sz w:val="24"/>
          <w:szCs w:val="24"/>
        </w:rPr>
        <w:t xml:space="preserve">), </w:t>
      </w:r>
      <w:r w:rsidR="001B0FA5" w:rsidRPr="00E60DA6">
        <w:rPr>
          <w:rFonts w:ascii="Arial" w:hAnsi="Arial" w:cs="Arial"/>
          <w:sz w:val="24"/>
          <w:szCs w:val="24"/>
        </w:rPr>
        <w:t xml:space="preserve">and </w:t>
      </w:r>
      <w:r w:rsidRPr="00E60DA6">
        <w:rPr>
          <w:rFonts w:ascii="Arial" w:hAnsi="Arial" w:cs="Arial"/>
          <w:sz w:val="24"/>
          <w:szCs w:val="24"/>
        </w:rPr>
        <w:t>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5C772E">
        <w:rPr>
          <w:rFonts w:ascii="Arial" w:hAnsi="Arial" w:cs="Arial"/>
          <w:sz w:val="24"/>
          <w:szCs w:val="24"/>
        </w:rPr>
        <w:t>Social Sciences and Humanities</w:t>
      </w:r>
      <w:r w:rsidR="001B77CB" w:rsidRPr="00E60DA6">
        <w:rPr>
          <w:rFonts w:ascii="Arial" w:hAnsi="Arial" w:cs="Arial"/>
          <w:sz w:val="24"/>
          <w:szCs w:val="24"/>
        </w:rPr>
        <w:t xml:space="preserve"> </w:t>
      </w:r>
      <w:r w:rsidRPr="00E60DA6">
        <w:rPr>
          <w:rFonts w:ascii="Arial" w:hAnsi="Arial" w:cs="Arial"/>
          <w:sz w:val="24"/>
          <w:szCs w:val="24"/>
        </w:rPr>
        <w:t>(</w:t>
      </w:r>
      <w:r w:rsidR="005C772E">
        <w:rPr>
          <w:rFonts w:ascii="Arial" w:hAnsi="Arial" w:cs="Arial"/>
          <w:sz w:val="24"/>
          <w:szCs w:val="24"/>
        </w:rPr>
        <w:t>November 2023</w:t>
      </w:r>
      <w:r w:rsidR="00D262EE" w:rsidRPr="00E60DA6">
        <w:rPr>
          <w:rFonts w:ascii="Arial" w:hAnsi="Arial" w:cs="Arial"/>
          <w:sz w:val="24"/>
          <w:szCs w:val="24"/>
        </w:rPr>
        <w:t>)</w:t>
      </w:r>
      <w:r w:rsidR="005D1E6E" w:rsidRPr="00E60DA6">
        <w:rPr>
          <w:rFonts w:ascii="Arial" w:hAnsi="Arial" w:cs="Arial"/>
          <w:sz w:val="24"/>
          <w:szCs w:val="24"/>
        </w:rPr>
        <w:t xml:space="preserve">.  </w:t>
      </w:r>
    </w:p>
    <w:p w14:paraId="2E7FB26B" w14:textId="2D304D24" w:rsidR="005D1E6E" w:rsidRDefault="005D1E6E" w:rsidP="00A35A85">
      <w:pPr>
        <w:spacing w:line="276" w:lineRule="auto"/>
        <w:rPr>
          <w:rFonts w:ascii="Arial" w:hAnsi="Arial" w:cs="Arial"/>
          <w:sz w:val="24"/>
          <w:szCs w:val="24"/>
        </w:rPr>
      </w:pPr>
      <w:r w:rsidRPr="00E60DA6">
        <w:rPr>
          <w:rFonts w:ascii="Arial" w:hAnsi="Arial" w:cs="Arial"/>
          <w:sz w:val="24"/>
          <w:szCs w:val="24"/>
        </w:rPr>
        <w:lastRenderedPageBreak/>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 xml:space="preserve">that have been selected for implementation. </w:t>
      </w:r>
    </w:p>
    <w:p w14:paraId="630D9A6C" w14:textId="77777777" w:rsidR="00D21979" w:rsidRPr="00701546" w:rsidRDefault="00D21979" w:rsidP="00D21979">
      <w:pPr>
        <w:pStyle w:val="Heading3"/>
      </w:pPr>
      <w:r w:rsidRPr="00701546">
        <w:t>Implementation Plan</w:t>
      </w:r>
    </w:p>
    <w:p w14:paraId="1BEA0E68" w14:textId="77777777" w:rsidR="00D21979" w:rsidRPr="00701546" w:rsidRDefault="00D21979" w:rsidP="00D21979">
      <w:pPr>
        <w:spacing w:line="276" w:lineRule="auto"/>
        <w:rPr>
          <w:rFonts w:ascii="Arial" w:hAnsi="Arial" w:cs="Arial"/>
          <w:sz w:val="24"/>
          <w:szCs w:val="24"/>
        </w:rPr>
      </w:pPr>
      <w:r w:rsidRPr="00701546">
        <w:rPr>
          <w:rFonts w:ascii="Arial" w:hAnsi="Arial" w:cs="Arial"/>
          <w:sz w:val="24"/>
          <w:szCs w:val="24"/>
        </w:rPr>
        <w:t xml:space="preserve">The Implementation Plan included below identifies the academic unit’s plans to action the recommendations, those responsible for ensuring their implementation and the timelines.  </w:t>
      </w:r>
    </w:p>
    <w:p w14:paraId="23D39F36" w14:textId="5DD89A78" w:rsidR="00E60DA6" w:rsidRPr="005C772E" w:rsidRDefault="000E31AF" w:rsidP="005C772E">
      <w:pPr>
        <w:pStyle w:val="Heading2"/>
        <w:spacing w:before="0" w:after="120"/>
        <w:rPr>
          <w:rFonts w:ascii="Arial" w:hAnsi="Arial" w:cs="Arial"/>
          <w:sz w:val="24"/>
          <w:szCs w:val="24"/>
        </w:rPr>
      </w:pPr>
      <w:r>
        <w:rPr>
          <w:rFonts w:ascii="Arial" w:hAnsi="Arial" w:cs="Arial"/>
          <w:sz w:val="24"/>
          <w:szCs w:val="24"/>
        </w:rPr>
        <w:br/>
      </w:r>
      <w:r w:rsidRPr="000E31AF">
        <w:rPr>
          <w:rFonts w:ascii="Arial" w:hAnsi="Arial" w:cs="Arial"/>
          <w:sz w:val="24"/>
          <w:szCs w:val="24"/>
        </w:rPr>
        <w:t xml:space="preserve">Implementation Plan - Example </w:t>
      </w:r>
    </w:p>
    <w:p w14:paraId="406CEC90" w14:textId="58D2E1E3" w:rsidR="005C772E" w:rsidRPr="005C772E" w:rsidRDefault="005C772E" w:rsidP="005C772E">
      <w:pPr>
        <w:rPr>
          <w:rFonts w:ascii="Arial" w:hAnsi="Arial" w:cs="Arial"/>
          <w:b/>
          <w:bCs/>
          <w:sz w:val="24"/>
          <w:szCs w:val="24"/>
        </w:rPr>
      </w:pPr>
      <w:r w:rsidRPr="005C772E">
        <w:rPr>
          <w:rFonts w:ascii="Arial" w:hAnsi="Arial" w:cs="Arial"/>
          <w:b/>
          <w:bCs/>
          <w:sz w:val="24"/>
          <w:szCs w:val="24"/>
        </w:rPr>
        <w:t>Recommendation Priority 1</w:t>
      </w:r>
      <w:r w:rsidRPr="005C772E">
        <w:rPr>
          <w:rFonts w:ascii="Arial" w:hAnsi="Arial" w:cs="Arial"/>
          <w:sz w:val="24"/>
          <w:szCs w:val="24"/>
        </w:rPr>
        <w:t>: Comprehensive Undergraduate Curriculum Review and Program Renewal (Recommendations 3, 5, 6, 9, 11, and 13)</w:t>
      </w:r>
    </w:p>
    <w:p w14:paraId="2DBC319C"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Summary Statement</w:t>
      </w:r>
    </w:p>
    <w:p w14:paraId="3C29088D" w14:textId="2D30B408" w:rsidR="005C772E" w:rsidRPr="005C772E" w:rsidRDefault="005C772E" w:rsidP="005C772E">
      <w:pPr>
        <w:rPr>
          <w:rFonts w:ascii="Arial" w:hAnsi="Arial" w:cs="Arial"/>
          <w:sz w:val="24"/>
          <w:szCs w:val="24"/>
        </w:rPr>
      </w:pPr>
      <w:r w:rsidRPr="005C772E">
        <w:rPr>
          <w:rFonts w:ascii="Arial" w:hAnsi="Arial" w:cs="Arial"/>
          <w:sz w:val="24"/>
          <w:szCs w:val="24"/>
        </w:rPr>
        <w:t>The Department has begun a comprehensive undergraduate review in response to Recommendations 3, 5, 6, 9, 11, and 13 of the cyclical review. This work has emerged in part through the Department’s Curricular Vitality discussions and reflects an effort to improve student progression, reduce unnecessary barriers, strengthen curricular coherence, and better align course offerings with student demand, available resources, and current disciplinary directions. The Department has approached this work in a measured way, recognizing that significant curricular change should be implemented carefully and assessed for its impact on both student experience and departmental capacity.</w:t>
      </w:r>
    </w:p>
    <w:p w14:paraId="0D39E77C"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Actions for Implementation</w:t>
      </w:r>
    </w:p>
    <w:p w14:paraId="18150BFD" w14:textId="40776655" w:rsidR="005C772E" w:rsidRPr="005C772E" w:rsidRDefault="005C772E" w:rsidP="005C772E">
      <w:pPr>
        <w:rPr>
          <w:rFonts w:ascii="Arial" w:hAnsi="Arial" w:cs="Arial"/>
          <w:sz w:val="24"/>
          <w:szCs w:val="24"/>
        </w:rPr>
      </w:pPr>
      <w:r w:rsidRPr="005C772E">
        <w:rPr>
          <w:rFonts w:ascii="Arial" w:hAnsi="Arial" w:cs="Arial"/>
          <w:sz w:val="24"/>
          <w:szCs w:val="24"/>
        </w:rPr>
        <w:t xml:space="preserve">The Department has undertaken a </w:t>
      </w:r>
      <w:r w:rsidRPr="005C772E">
        <w:rPr>
          <w:rFonts w:ascii="Arial" w:hAnsi="Arial" w:cs="Arial"/>
          <w:b/>
          <w:bCs/>
          <w:sz w:val="24"/>
          <w:szCs w:val="24"/>
        </w:rPr>
        <w:t>broad reconsideration of course prerequisites</w:t>
      </w:r>
      <w:r w:rsidRPr="005C772E">
        <w:rPr>
          <w:rFonts w:ascii="Arial" w:hAnsi="Arial" w:cs="Arial"/>
          <w:sz w:val="24"/>
          <w:szCs w:val="24"/>
        </w:rPr>
        <w:t xml:space="preserve">. In many cases, prerequisites have been removed or reduced </w:t>
      </w:r>
      <w:proofErr w:type="gramStart"/>
      <w:r w:rsidRPr="005C772E">
        <w:rPr>
          <w:rFonts w:ascii="Arial" w:hAnsi="Arial" w:cs="Arial"/>
          <w:sz w:val="24"/>
          <w:szCs w:val="24"/>
        </w:rPr>
        <w:t>in order to</w:t>
      </w:r>
      <w:proofErr w:type="gramEnd"/>
      <w:r w:rsidRPr="005C772E">
        <w:rPr>
          <w:rFonts w:ascii="Arial" w:hAnsi="Arial" w:cs="Arial"/>
          <w:sz w:val="24"/>
          <w:szCs w:val="24"/>
        </w:rPr>
        <w:t xml:space="preserve"> improve access to sociology courses, facilitate degree progression, and reduce barriers for transfer students, students changing programs, or students who may have missed a particular required course but are otherwise ready to move forward. The Department also expects this change to make sociology courses more accessible to students from other programs and, in turn, to improve enrollments. This shift is consistent with the increasingly interdisciplinary character of many core and elective offerings. The Department does not believe these changes will negatively affect student success in upper-year courses.</w:t>
      </w:r>
    </w:p>
    <w:p w14:paraId="2803CD09" w14:textId="3F9D9309" w:rsidR="005C772E" w:rsidRPr="005C772E" w:rsidRDefault="005C772E" w:rsidP="005C772E">
      <w:pPr>
        <w:rPr>
          <w:rFonts w:ascii="Arial" w:hAnsi="Arial" w:cs="Arial"/>
          <w:sz w:val="24"/>
          <w:szCs w:val="24"/>
        </w:rPr>
      </w:pPr>
      <w:r w:rsidRPr="005C772E">
        <w:rPr>
          <w:rFonts w:ascii="Arial" w:hAnsi="Arial" w:cs="Arial"/>
          <w:sz w:val="24"/>
          <w:szCs w:val="24"/>
        </w:rPr>
        <w:t xml:space="preserve">The Department has also continued its </w:t>
      </w:r>
      <w:r w:rsidRPr="005C772E">
        <w:rPr>
          <w:rFonts w:ascii="Arial" w:hAnsi="Arial" w:cs="Arial"/>
          <w:b/>
          <w:bCs/>
          <w:sz w:val="24"/>
          <w:szCs w:val="24"/>
        </w:rPr>
        <w:t>review of under-enrolled and infrequently offered courses</w:t>
      </w:r>
      <w:r w:rsidRPr="005C772E">
        <w:rPr>
          <w:rFonts w:ascii="Arial" w:hAnsi="Arial" w:cs="Arial"/>
          <w:sz w:val="24"/>
          <w:szCs w:val="24"/>
        </w:rPr>
        <w:t xml:space="preserve">. Some courses have been removed from the calendar, while a limited number of new courses are being developed in response to changing faculty expertise, student interests, and the need for a more sustainable curriculum. </w:t>
      </w:r>
      <w:proofErr w:type="gramStart"/>
      <w:r w:rsidRPr="005C772E">
        <w:rPr>
          <w:rFonts w:ascii="Arial" w:hAnsi="Arial" w:cs="Arial"/>
          <w:sz w:val="24"/>
          <w:szCs w:val="24"/>
        </w:rPr>
        <w:t>Particular attention</w:t>
      </w:r>
      <w:proofErr w:type="gramEnd"/>
      <w:r w:rsidRPr="005C772E">
        <w:rPr>
          <w:rFonts w:ascii="Arial" w:hAnsi="Arial" w:cs="Arial"/>
          <w:sz w:val="24"/>
          <w:szCs w:val="24"/>
        </w:rPr>
        <w:t xml:space="preserve"> </w:t>
      </w:r>
      <w:r w:rsidRPr="005C772E">
        <w:rPr>
          <w:rFonts w:ascii="Arial" w:hAnsi="Arial" w:cs="Arial"/>
          <w:sz w:val="24"/>
          <w:szCs w:val="24"/>
        </w:rPr>
        <w:lastRenderedPageBreak/>
        <w:t xml:space="preserve">has been given to </w:t>
      </w:r>
      <w:r w:rsidRPr="005C772E">
        <w:rPr>
          <w:rFonts w:ascii="Arial" w:hAnsi="Arial" w:cs="Arial"/>
          <w:b/>
          <w:bCs/>
          <w:sz w:val="24"/>
          <w:szCs w:val="24"/>
        </w:rPr>
        <w:t>1.0 FCE courses</w:t>
      </w:r>
      <w:r w:rsidRPr="005C772E">
        <w:rPr>
          <w:rFonts w:ascii="Arial" w:hAnsi="Arial" w:cs="Arial"/>
          <w:sz w:val="24"/>
          <w:szCs w:val="24"/>
        </w:rPr>
        <w:t xml:space="preserve">. By 2026, the Department expects to have reduced the number of 1.0 FCE courses by more than half, with further reductions likely as additional curriculum changes are undertaken in connection with upcoming faculty retirements. In </w:t>
      </w:r>
      <w:proofErr w:type="gramStart"/>
      <w:r w:rsidRPr="005C772E">
        <w:rPr>
          <w:rFonts w:ascii="Arial" w:hAnsi="Arial" w:cs="Arial"/>
          <w:sz w:val="24"/>
          <w:szCs w:val="24"/>
        </w:rPr>
        <w:t>a number of</w:t>
      </w:r>
      <w:proofErr w:type="gramEnd"/>
      <w:r w:rsidRPr="005C772E">
        <w:rPr>
          <w:rFonts w:ascii="Arial" w:hAnsi="Arial" w:cs="Arial"/>
          <w:sz w:val="24"/>
          <w:szCs w:val="24"/>
        </w:rPr>
        <w:t xml:space="preserve"> cases, year-long courses are being divided into two half-courses or otherwise condensed into a more flexible 0.5 FCE format. Recommendation 6, concerning the possible division of the </w:t>
      </w:r>
      <w:r w:rsidRPr="005C772E">
        <w:rPr>
          <w:rFonts w:ascii="Arial" w:hAnsi="Arial" w:cs="Arial"/>
          <w:b/>
          <w:bCs/>
          <w:sz w:val="24"/>
          <w:szCs w:val="24"/>
        </w:rPr>
        <w:t>introductory 1000-level course</w:t>
      </w:r>
      <w:r w:rsidRPr="005C772E">
        <w:rPr>
          <w:rFonts w:ascii="Arial" w:hAnsi="Arial" w:cs="Arial"/>
          <w:sz w:val="24"/>
          <w:szCs w:val="24"/>
        </w:rPr>
        <w:t xml:space="preserve">, remains under active discussion. The Department has not yet reached final agreement on the precise structure of this change, but the Chair remains committed to continuing this work with colleagues </w:t>
      </w:r>
      <w:proofErr w:type="gramStart"/>
      <w:r w:rsidRPr="005C772E">
        <w:rPr>
          <w:rFonts w:ascii="Arial" w:hAnsi="Arial" w:cs="Arial"/>
          <w:sz w:val="24"/>
          <w:szCs w:val="24"/>
        </w:rPr>
        <w:t>in order to</w:t>
      </w:r>
      <w:proofErr w:type="gramEnd"/>
      <w:r w:rsidRPr="005C772E">
        <w:rPr>
          <w:rFonts w:ascii="Arial" w:hAnsi="Arial" w:cs="Arial"/>
          <w:sz w:val="24"/>
          <w:szCs w:val="24"/>
        </w:rPr>
        <w:t xml:space="preserve"> develop a satisfactory and pedagogically sound plan.</w:t>
      </w:r>
    </w:p>
    <w:p w14:paraId="33496C13" w14:textId="1B1E970A" w:rsidR="005C772E" w:rsidRPr="005C772E" w:rsidRDefault="005C772E" w:rsidP="005C772E">
      <w:pPr>
        <w:rPr>
          <w:rFonts w:ascii="Arial" w:hAnsi="Arial" w:cs="Arial"/>
          <w:sz w:val="24"/>
          <w:szCs w:val="24"/>
        </w:rPr>
      </w:pPr>
      <w:r w:rsidRPr="005C772E">
        <w:rPr>
          <w:rFonts w:ascii="Arial" w:hAnsi="Arial" w:cs="Arial"/>
          <w:sz w:val="24"/>
          <w:szCs w:val="24"/>
        </w:rPr>
        <w:t xml:space="preserve">The Department has also </w:t>
      </w:r>
      <w:r w:rsidRPr="005C772E">
        <w:rPr>
          <w:rFonts w:ascii="Arial" w:hAnsi="Arial" w:cs="Arial"/>
          <w:b/>
          <w:bCs/>
          <w:sz w:val="24"/>
          <w:szCs w:val="24"/>
        </w:rPr>
        <w:t>revised degree requirements</w:t>
      </w:r>
      <w:r w:rsidRPr="005C772E">
        <w:rPr>
          <w:rFonts w:ascii="Arial" w:hAnsi="Arial" w:cs="Arial"/>
          <w:sz w:val="24"/>
          <w:szCs w:val="24"/>
        </w:rPr>
        <w:t xml:space="preserve"> </w:t>
      </w:r>
      <w:proofErr w:type="gramStart"/>
      <w:r w:rsidRPr="005C772E">
        <w:rPr>
          <w:rFonts w:ascii="Arial" w:hAnsi="Arial" w:cs="Arial"/>
          <w:sz w:val="24"/>
          <w:szCs w:val="24"/>
        </w:rPr>
        <w:t>in order to</w:t>
      </w:r>
      <w:proofErr w:type="gramEnd"/>
      <w:r w:rsidRPr="005C772E">
        <w:rPr>
          <w:rFonts w:ascii="Arial" w:hAnsi="Arial" w:cs="Arial"/>
          <w:sz w:val="24"/>
          <w:szCs w:val="24"/>
        </w:rPr>
        <w:t xml:space="preserve"> reduce rigidity and improve program coherence. At the HBA level, theory and methods requirements at the third- and fourth-year levels have been reduced </w:t>
      </w:r>
      <w:proofErr w:type="gramStart"/>
      <w:r w:rsidRPr="005C772E">
        <w:rPr>
          <w:rFonts w:ascii="Arial" w:hAnsi="Arial" w:cs="Arial"/>
          <w:sz w:val="24"/>
          <w:szCs w:val="24"/>
        </w:rPr>
        <w:t>in order to</w:t>
      </w:r>
      <w:proofErr w:type="gramEnd"/>
      <w:r w:rsidRPr="005C772E">
        <w:rPr>
          <w:rFonts w:ascii="Arial" w:hAnsi="Arial" w:cs="Arial"/>
          <w:sz w:val="24"/>
          <w:szCs w:val="24"/>
        </w:rPr>
        <w:t xml:space="preserve"> create greater flexibility for students and reduce pressure on a small number of required upper-year courses. Some under-enrolled fourth-year electives have been discontinued, and the Department is exploring collaboration with other departments, particularly in the social sciences, </w:t>
      </w:r>
      <w:proofErr w:type="gramStart"/>
      <w:r w:rsidRPr="005C772E">
        <w:rPr>
          <w:rFonts w:ascii="Arial" w:hAnsi="Arial" w:cs="Arial"/>
          <w:sz w:val="24"/>
          <w:szCs w:val="24"/>
        </w:rPr>
        <w:t>in order to</w:t>
      </w:r>
      <w:proofErr w:type="gramEnd"/>
      <w:r w:rsidRPr="005C772E">
        <w:rPr>
          <w:rFonts w:ascii="Arial" w:hAnsi="Arial" w:cs="Arial"/>
          <w:sz w:val="24"/>
          <w:szCs w:val="24"/>
        </w:rPr>
        <w:t xml:space="preserve"> cross-list or share selected upper-year electives where appropriate. At the same time, the Department has slightly increased methods requirements in the three-year BA in Sociology. This is intended to strengthen the academic quality of the BA, bring it more in line with comparable sociology programs elsewhere, improve enrollments in core courses, and create greater consistency between the BA and HBA for students who later decide to continue into a fourth year. The Department is also developing a </w:t>
      </w:r>
      <w:r w:rsidRPr="005C772E">
        <w:rPr>
          <w:rFonts w:ascii="Arial" w:hAnsi="Arial" w:cs="Arial"/>
          <w:b/>
          <w:bCs/>
          <w:sz w:val="24"/>
          <w:szCs w:val="24"/>
        </w:rPr>
        <w:t>four-year “fall-back” degree pathway</w:t>
      </w:r>
      <w:r w:rsidRPr="005C772E">
        <w:rPr>
          <w:rFonts w:ascii="Arial" w:hAnsi="Arial" w:cs="Arial"/>
          <w:sz w:val="24"/>
          <w:szCs w:val="24"/>
        </w:rPr>
        <w:t xml:space="preserve"> for students who begin in the HBA but are unable to complete all Honours requirements, such as the minimum average requirement. Together, these changes are intended to create a more flexible, coherent, and student-centered program structure.</w:t>
      </w:r>
    </w:p>
    <w:p w14:paraId="501852CD" w14:textId="7F951B24" w:rsidR="005C772E" w:rsidRPr="005C772E" w:rsidRDefault="005C772E" w:rsidP="005C772E">
      <w:pPr>
        <w:rPr>
          <w:rFonts w:ascii="Arial" w:hAnsi="Arial" w:cs="Arial"/>
          <w:sz w:val="24"/>
          <w:szCs w:val="24"/>
        </w:rPr>
      </w:pPr>
      <w:r w:rsidRPr="005C772E">
        <w:rPr>
          <w:rFonts w:ascii="Arial" w:hAnsi="Arial" w:cs="Arial"/>
          <w:sz w:val="24"/>
          <w:szCs w:val="24"/>
        </w:rPr>
        <w:t xml:space="preserve">In response to Recommendation 13, the Department has also </w:t>
      </w:r>
      <w:r w:rsidRPr="005C772E">
        <w:rPr>
          <w:rFonts w:ascii="Arial" w:hAnsi="Arial" w:cs="Arial"/>
          <w:b/>
          <w:bCs/>
          <w:sz w:val="24"/>
          <w:szCs w:val="24"/>
        </w:rPr>
        <w:t>reduced course caps</w:t>
      </w:r>
      <w:r w:rsidRPr="005C772E">
        <w:rPr>
          <w:rFonts w:ascii="Arial" w:hAnsi="Arial" w:cs="Arial"/>
          <w:sz w:val="24"/>
          <w:szCs w:val="24"/>
        </w:rPr>
        <w:t xml:space="preserve">. Sociology had previously maintained some of the highest course caps in the </w:t>
      </w:r>
      <w:proofErr w:type="gramStart"/>
      <w:r w:rsidRPr="005C772E">
        <w:rPr>
          <w:rFonts w:ascii="Arial" w:hAnsi="Arial" w:cs="Arial"/>
          <w:sz w:val="24"/>
          <w:szCs w:val="24"/>
        </w:rPr>
        <w:t>Faculty</w:t>
      </w:r>
      <w:proofErr w:type="gramEnd"/>
      <w:r w:rsidRPr="005C772E">
        <w:rPr>
          <w:rFonts w:ascii="Arial" w:hAnsi="Arial" w:cs="Arial"/>
          <w:sz w:val="24"/>
          <w:szCs w:val="24"/>
        </w:rPr>
        <w:t xml:space="preserve"> </w:t>
      </w:r>
      <w:proofErr w:type="gramStart"/>
      <w:r w:rsidRPr="005C772E">
        <w:rPr>
          <w:rFonts w:ascii="Arial" w:hAnsi="Arial" w:cs="Arial"/>
          <w:sz w:val="24"/>
          <w:szCs w:val="24"/>
        </w:rPr>
        <w:t>in order to</w:t>
      </w:r>
      <w:proofErr w:type="gramEnd"/>
      <w:r w:rsidRPr="005C772E">
        <w:rPr>
          <w:rFonts w:ascii="Arial" w:hAnsi="Arial" w:cs="Arial"/>
          <w:sz w:val="24"/>
          <w:szCs w:val="24"/>
        </w:rPr>
        <w:t xml:space="preserve"> accommodate student demand in other departments and reduce the overall number of courses offered as a cost-saving strategy. Given current resource pressures, however, these caps are no longer sustainable. The Department has therefore moved to reduce caps to more manageable levels. This is expected to improve the quality of instruction and the student learning experience by making it easier to incorporate writing assignments, feedback, discussion, and more experiential forms of learning where appropriate. The Department also anticipates that more manageable class sizes will help reduce faculty overload and burnout.</w:t>
      </w:r>
    </w:p>
    <w:p w14:paraId="502D5D5C"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Role/Person Responsible for Implementation</w:t>
      </w:r>
    </w:p>
    <w:p w14:paraId="776378EC" w14:textId="77777777" w:rsidR="005C772E" w:rsidRPr="005C772E" w:rsidRDefault="005C772E" w:rsidP="005C772E">
      <w:pPr>
        <w:rPr>
          <w:rFonts w:ascii="Arial" w:hAnsi="Arial" w:cs="Arial"/>
          <w:sz w:val="24"/>
          <w:szCs w:val="24"/>
        </w:rPr>
      </w:pPr>
      <w:r w:rsidRPr="005C772E">
        <w:rPr>
          <w:rFonts w:ascii="Arial" w:hAnsi="Arial" w:cs="Arial"/>
          <w:sz w:val="24"/>
          <w:szCs w:val="24"/>
        </w:rPr>
        <w:t>Department Chair; Undergraduate Studies Committee/Curriculum Committee; in consultation with partner departments involved in cross-listed or shared upper-year offerings.</w:t>
      </w:r>
    </w:p>
    <w:p w14:paraId="3E22E228" w14:textId="77777777" w:rsidR="005C772E" w:rsidRPr="005C772E" w:rsidRDefault="005C772E" w:rsidP="005C772E">
      <w:pPr>
        <w:rPr>
          <w:rFonts w:ascii="Arial" w:hAnsi="Arial" w:cs="Arial"/>
          <w:sz w:val="24"/>
          <w:szCs w:val="24"/>
        </w:rPr>
      </w:pPr>
    </w:p>
    <w:p w14:paraId="5B4AEC13"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lastRenderedPageBreak/>
        <w:t>Timeline</w:t>
      </w:r>
    </w:p>
    <w:p w14:paraId="644F830C" w14:textId="77777777" w:rsidR="005C772E" w:rsidRPr="005C772E" w:rsidRDefault="005C772E" w:rsidP="005C772E">
      <w:pPr>
        <w:rPr>
          <w:rFonts w:ascii="Arial" w:hAnsi="Arial" w:cs="Arial"/>
          <w:sz w:val="24"/>
          <w:szCs w:val="24"/>
        </w:rPr>
      </w:pPr>
      <w:r w:rsidRPr="005C772E">
        <w:rPr>
          <w:rFonts w:ascii="Arial" w:hAnsi="Arial" w:cs="Arial"/>
          <w:b/>
          <w:bCs/>
          <w:sz w:val="24"/>
          <w:szCs w:val="24"/>
        </w:rPr>
        <w:t>2024–2025</w:t>
      </w:r>
      <w:r w:rsidRPr="005C772E">
        <w:rPr>
          <w:rFonts w:ascii="Arial" w:hAnsi="Arial" w:cs="Arial"/>
          <w:sz w:val="24"/>
          <w:szCs w:val="24"/>
        </w:rPr>
        <w:t>: Initial curricular review through Curricular Vitality discussions; review and removal of selected prerequisites; review of under-enrolled and seldom-offered courses; reduction of selected course caps.</w:t>
      </w:r>
    </w:p>
    <w:p w14:paraId="59633DA6" w14:textId="77777777" w:rsidR="005C772E" w:rsidRPr="005C772E" w:rsidRDefault="005C772E" w:rsidP="005C772E">
      <w:pPr>
        <w:rPr>
          <w:rFonts w:ascii="Arial" w:hAnsi="Arial" w:cs="Arial"/>
          <w:sz w:val="24"/>
          <w:szCs w:val="24"/>
        </w:rPr>
      </w:pPr>
      <w:r w:rsidRPr="005C772E">
        <w:rPr>
          <w:rFonts w:ascii="Arial" w:hAnsi="Arial" w:cs="Arial"/>
          <w:b/>
          <w:bCs/>
          <w:sz w:val="24"/>
          <w:szCs w:val="24"/>
        </w:rPr>
        <w:t>2025–2026</w:t>
      </w:r>
      <w:r w:rsidRPr="005C772E">
        <w:rPr>
          <w:rFonts w:ascii="Arial" w:hAnsi="Arial" w:cs="Arial"/>
          <w:sz w:val="24"/>
          <w:szCs w:val="24"/>
        </w:rPr>
        <w:t>: Continued implementation of calendar and curriculum changes, including further reduction of 1.0 FCE courses, revision of BA and HBA requirements, and development of the four-year “fall-back” pathway.</w:t>
      </w:r>
    </w:p>
    <w:p w14:paraId="3D3CA2A9" w14:textId="163F4358" w:rsidR="005C772E" w:rsidRPr="005C772E" w:rsidRDefault="005C772E" w:rsidP="005C772E">
      <w:pPr>
        <w:rPr>
          <w:rFonts w:ascii="Arial" w:hAnsi="Arial" w:cs="Arial"/>
          <w:sz w:val="24"/>
          <w:szCs w:val="24"/>
        </w:rPr>
      </w:pPr>
      <w:r w:rsidRPr="005C772E">
        <w:rPr>
          <w:rFonts w:ascii="Arial" w:hAnsi="Arial" w:cs="Arial"/>
          <w:b/>
          <w:bCs/>
          <w:sz w:val="24"/>
          <w:szCs w:val="24"/>
        </w:rPr>
        <w:t>2026–2027</w:t>
      </w:r>
      <w:r w:rsidRPr="005C772E">
        <w:rPr>
          <w:rFonts w:ascii="Arial" w:hAnsi="Arial" w:cs="Arial"/>
          <w:sz w:val="24"/>
          <w:szCs w:val="24"/>
        </w:rPr>
        <w:t>: Continued review of introductory course restructuring, cross-listing opportunities, and the overall impact of curricular changes on enrollments, student progression, and program sustainability.</w:t>
      </w:r>
    </w:p>
    <w:p w14:paraId="5A38F327" w14:textId="77777777" w:rsidR="005C772E" w:rsidRPr="005C772E" w:rsidRDefault="005C772E" w:rsidP="005C772E">
      <w:pPr>
        <w:rPr>
          <w:rFonts w:ascii="Arial" w:hAnsi="Arial" w:cs="Arial"/>
          <w:b/>
          <w:bCs/>
          <w:sz w:val="24"/>
          <w:szCs w:val="24"/>
        </w:rPr>
      </w:pPr>
    </w:p>
    <w:p w14:paraId="66FFAC49" w14:textId="140745D6" w:rsidR="005C772E" w:rsidRPr="005C772E" w:rsidRDefault="005C772E" w:rsidP="005C772E">
      <w:pPr>
        <w:rPr>
          <w:rFonts w:ascii="Arial" w:hAnsi="Arial" w:cs="Arial"/>
          <w:b/>
          <w:bCs/>
          <w:sz w:val="24"/>
          <w:szCs w:val="24"/>
        </w:rPr>
      </w:pPr>
      <w:r w:rsidRPr="005C772E">
        <w:rPr>
          <w:rFonts w:ascii="Arial" w:hAnsi="Arial" w:cs="Arial"/>
          <w:b/>
          <w:bCs/>
          <w:sz w:val="24"/>
          <w:szCs w:val="24"/>
        </w:rPr>
        <w:t>Recommendation Priority 2</w:t>
      </w:r>
      <w:r w:rsidRPr="005C772E">
        <w:rPr>
          <w:rFonts w:ascii="Arial" w:hAnsi="Arial" w:cs="Arial"/>
          <w:sz w:val="24"/>
          <w:szCs w:val="24"/>
        </w:rPr>
        <w:t>: Graduate Program Enhancement and Flexibility (Recommendations 15, 16, and 17)</w:t>
      </w:r>
    </w:p>
    <w:p w14:paraId="7981496D"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Summary Statement</w:t>
      </w:r>
    </w:p>
    <w:p w14:paraId="2131ACB4" w14:textId="760EE56D" w:rsidR="005C772E" w:rsidRPr="005C772E" w:rsidRDefault="005C772E" w:rsidP="005C772E">
      <w:pPr>
        <w:rPr>
          <w:rFonts w:ascii="Arial" w:hAnsi="Arial" w:cs="Arial"/>
          <w:sz w:val="24"/>
          <w:szCs w:val="24"/>
        </w:rPr>
      </w:pPr>
      <w:r w:rsidRPr="005C772E">
        <w:rPr>
          <w:rFonts w:ascii="Arial" w:hAnsi="Arial" w:cs="Arial"/>
          <w:sz w:val="24"/>
          <w:szCs w:val="24"/>
        </w:rPr>
        <w:t>The Department has identified graduate program enhancement as a priority area for implementation in response to Recommendations 15, 16, and 17 of the cyclical review. Collectively, these recommendations call for changes that would strengthen the thesis-based MA option, provide clearer recognition of exceptional student achievement, and improve flexibility for students whose circumstances make full-time study difficult. The Department supports these recommendations and is now in a better position to move them forward through the work of the incoming Graduate Program Coordinator, the Department Chair, and the graduate program faculty members.</w:t>
      </w:r>
    </w:p>
    <w:p w14:paraId="09BB33A9"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Actions for Implementation</w:t>
      </w:r>
    </w:p>
    <w:p w14:paraId="02311970" w14:textId="348479C3" w:rsidR="005C772E" w:rsidRPr="005C772E" w:rsidRDefault="005C772E" w:rsidP="005C772E">
      <w:pPr>
        <w:rPr>
          <w:rFonts w:ascii="Arial" w:hAnsi="Arial" w:cs="Arial"/>
          <w:sz w:val="24"/>
          <w:szCs w:val="24"/>
        </w:rPr>
      </w:pPr>
      <w:r w:rsidRPr="005C772E">
        <w:rPr>
          <w:rFonts w:ascii="Arial" w:hAnsi="Arial" w:cs="Arial"/>
          <w:sz w:val="24"/>
          <w:szCs w:val="24"/>
        </w:rPr>
        <w:t xml:space="preserve">The Department plans to develop and implement a </w:t>
      </w:r>
      <w:r w:rsidRPr="005C772E">
        <w:rPr>
          <w:rFonts w:ascii="Arial" w:hAnsi="Arial" w:cs="Arial"/>
          <w:b/>
          <w:bCs/>
          <w:sz w:val="24"/>
          <w:szCs w:val="24"/>
        </w:rPr>
        <w:t>formal thesis defense</w:t>
      </w:r>
      <w:r w:rsidRPr="005C772E">
        <w:rPr>
          <w:rFonts w:ascii="Arial" w:hAnsi="Arial" w:cs="Arial"/>
          <w:sz w:val="24"/>
          <w:szCs w:val="24"/>
        </w:rPr>
        <w:t xml:space="preserve"> for students in the thesis-based MA stream, including a clearer and more active role for the external examiner. The Department supports this change and sees it as a worthwhile enhancement to the program. Although the course-based MA has reduced the number of students pursuing the thesis option, each new cohort typically includes at least one student who wishes to complete a thesis in preparation for doctoral study or for professional development in research-oriented employment. For those students, a formal defense would strengthen the academic value of the degree and bring the program more in line with common graduate practices elsewhere. The Department also believes this change is feasible and would not create a major additional workload burden for faculty, particularly given that Zoom and related technologies now make external participation much easier and more cost-effective.</w:t>
      </w:r>
    </w:p>
    <w:p w14:paraId="74CE02F2" w14:textId="59400EB9" w:rsidR="005C772E" w:rsidRPr="005C772E" w:rsidRDefault="005C772E" w:rsidP="005C772E">
      <w:pPr>
        <w:rPr>
          <w:rFonts w:ascii="Arial" w:hAnsi="Arial" w:cs="Arial"/>
          <w:sz w:val="24"/>
          <w:szCs w:val="24"/>
        </w:rPr>
      </w:pPr>
      <w:r w:rsidRPr="005C772E">
        <w:rPr>
          <w:rFonts w:ascii="Arial" w:hAnsi="Arial" w:cs="Arial"/>
          <w:sz w:val="24"/>
          <w:szCs w:val="24"/>
        </w:rPr>
        <w:t>The Department also supports exploring the introduction of a “</w:t>
      </w:r>
      <w:r w:rsidRPr="005C772E">
        <w:rPr>
          <w:rFonts w:ascii="Arial" w:hAnsi="Arial" w:cs="Arial"/>
          <w:b/>
          <w:bCs/>
          <w:sz w:val="24"/>
          <w:szCs w:val="24"/>
        </w:rPr>
        <w:t>Pass with Distinction</w:t>
      </w:r>
      <w:r w:rsidRPr="005C772E">
        <w:rPr>
          <w:rFonts w:ascii="Arial" w:hAnsi="Arial" w:cs="Arial"/>
          <w:sz w:val="24"/>
          <w:szCs w:val="24"/>
        </w:rPr>
        <w:t xml:space="preserve">” designation for MA thesis students. Several faculty members are familiar with this designation from other institutions and view it as a meaningful way to recognize </w:t>
      </w:r>
      <w:r w:rsidRPr="005C772E">
        <w:rPr>
          <w:rFonts w:ascii="Arial" w:hAnsi="Arial" w:cs="Arial"/>
          <w:sz w:val="24"/>
          <w:szCs w:val="24"/>
        </w:rPr>
        <w:lastRenderedPageBreak/>
        <w:t>exceptional academic achievement. It would provide students with an additional form of formal recognition that could be noted on a transcript, CV or résumé, or future academic application. The Department recognizes that this is not currently part of Lakehead’s grading framework and would therefore require consultation beyond the unit with the Dean of Graduate Studies, but it supports investigating the process required to determine whether and how such a change could be implemented.</w:t>
      </w:r>
    </w:p>
    <w:p w14:paraId="160F44D2" w14:textId="0981A3BB" w:rsidR="005C772E" w:rsidRPr="005C772E" w:rsidRDefault="005C772E" w:rsidP="005C772E">
      <w:pPr>
        <w:rPr>
          <w:rFonts w:ascii="Arial" w:hAnsi="Arial" w:cs="Arial"/>
          <w:sz w:val="24"/>
          <w:szCs w:val="24"/>
        </w:rPr>
      </w:pPr>
      <w:r w:rsidRPr="005C772E">
        <w:rPr>
          <w:rFonts w:ascii="Arial" w:hAnsi="Arial" w:cs="Arial"/>
          <w:sz w:val="24"/>
          <w:szCs w:val="24"/>
        </w:rPr>
        <w:t xml:space="preserve">The Department likewise supports the development of a more formal </w:t>
      </w:r>
      <w:r w:rsidRPr="005C772E">
        <w:rPr>
          <w:rFonts w:ascii="Arial" w:hAnsi="Arial" w:cs="Arial"/>
          <w:b/>
          <w:bCs/>
          <w:sz w:val="24"/>
          <w:szCs w:val="24"/>
        </w:rPr>
        <w:t>part-time or flex-time pathway</w:t>
      </w:r>
      <w:r w:rsidRPr="005C772E">
        <w:rPr>
          <w:rFonts w:ascii="Arial" w:hAnsi="Arial" w:cs="Arial"/>
          <w:sz w:val="24"/>
          <w:szCs w:val="24"/>
        </w:rPr>
        <w:t xml:space="preserve"> in the MA program. This is an area where student interest has been clear. Some students have expressed a preference for part-time study so that they can maintain full-time employment while completing the degree, either because they are mature students already established in careers or because they need to work </w:t>
      </w:r>
      <w:proofErr w:type="gramStart"/>
      <w:r w:rsidRPr="005C772E">
        <w:rPr>
          <w:rFonts w:ascii="Arial" w:hAnsi="Arial" w:cs="Arial"/>
          <w:sz w:val="24"/>
          <w:szCs w:val="24"/>
        </w:rPr>
        <w:t>in order to</w:t>
      </w:r>
      <w:proofErr w:type="gramEnd"/>
      <w:r w:rsidRPr="005C772E">
        <w:rPr>
          <w:rFonts w:ascii="Arial" w:hAnsi="Arial" w:cs="Arial"/>
          <w:sz w:val="24"/>
          <w:szCs w:val="24"/>
        </w:rPr>
        <w:t xml:space="preserve"> avoid taking on excessive debt. This concern is especially relevant </w:t>
      </w:r>
      <w:proofErr w:type="gramStart"/>
      <w:r w:rsidRPr="005C772E">
        <w:rPr>
          <w:rFonts w:ascii="Arial" w:hAnsi="Arial" w:cs="Arial"/>
          <w:sz w:val="24"/>
          <w:szCs w:val="24"/>
        </w:rPr>
        <w:t>in light of</w:t>
      </w:r>
      <w:proofErr w:type="gramEnd"/>
      <w:r w:rsidRPr="005C772E">
        <w:rPr>
          <w:rFonts w:ascii="Arial" w:hAnsi="Arial" w:cs="Arial"/>
          <w:sz w:val="24"/>
          <w:szCs w:val="24"/>
        </w:rPr>
        <w:t xml:space="preserve"> the financial realities facing graduate students, including limited bursaries, scholarships, and awards, and the fact that graduate student funding often does not adequately offset the cost of full-time study. The Department also has direct evidence of the value of such flexibility. In the Department’s view, a formalized </w:t>
      </w:r>
      <w:proofErr w:type="gramStart"/>
      <w:r w:rsidRPr="005C772E">
        <w:rPr>
          <w:rFonts w:ascii="Arial" w:hAnsi="Arial" w:cs="Arial"/>
          <w:sz w:val="24"/>
          <w:szCs w:val="24"/>
        </w:rPr>
        <w:t>flex-time</w:t>
      </w:r>
      <w:proofErr w:type="gramEnd"/>
      <w:r w:rsidRPr="005C772E">
        <w:rPr>
          <w:rFonts w:ascii="Arial" w:hAnsi="Arial" w:cs="Arial"/>
          <w:sz w:val="24"/>
          <w:szCs w:val="24"/>
        </w:rPr>
        <w:t xml:space="preserve"> or part-time pathway would improve accessibility, better support lifelong learners, and respond more realistically to the circumstances of many current and prospective students. The Department does not foresee that this option will add significantly to faculty workload and therefore considers it feasible from the perspective of the unit.</w:t>
      </w:r>
    </w:p>
    <w:p w14:paraId="5C214FDD" w14:textId="4D72EC36" w:rsidR="005C772E" w:rsidRPr="005C772E" w:rsidRDefault="005C772E" w:rsidP="005C772E">
      <w:pPr>
        <w:rPr>
          <w:rFonts w:ascii="Arial" w:hAnsi="Arial" w:cs="Arial"/>
          <w:sz w:val="24"/>
          <w:szCs w:val="24"/>
        </w:rPr>
      </w:pPr>
      <w:r w:rsidRPr="005C772E">
        <w:rPr>
          <w:rFonts w:ascii="Arial" w:hAnsi="Arial" w:cs="Arial"/>
          <w:sz w:val="24"/>
          <w:szCs w:val="24"/>
        </w:rPr>
        <w:t xml:space="preserve">As part of this work, the Department will also consider whether </w:t>
      </w:r>
      <w:r w:rsidRPr="005C772E">
        <w:rPr>
          <w:rFonts w:ascii="Arial" w:hAnsi="Arial" w:cs="Arial"/>
          <w:b/>
          <w:bCs/>
          <w:sz w:val="24"/>
          <w:szCs w:val="24"/>
        </w:rPr>
        <w:t>related changes should be pursued in the HBA</w:t>
      </w:r>
      <w:r w:rsidRPr="005C772E">
        <w:rPr>
          <w:rFonts w:ascii="Arial" w:hAnsi="Arial" w:cs="Arial"/>
          <w:sz w:val="24"/>
          <w:szCs w:val="24"/>
        </w:rPr>
        <w:t>, particularly in relation to thesis/research milestones and forms of academic recognition, so that there is greater coherence between undergraduate and graduate research pathways.</w:t>
      </w:r>
    </w:p>
    <w:p w14:paraId="0501C461"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Role/Person Responsible for Implementation</w:t>
      </w:r>
    </w:p>
    <w:p w14:paraId="770BEE26" w14:textId="4CDCC50F" w:rsidR="005C772E" w:rsidRPr="005C772E" w:rsidRDefault="005C772E" w:rsidP="005C772E">
      <w:pPr>
        <w:rPr>
          <w:rFonts w:ascii="Arial" w:hAnsi="Arial" w:cs="Arial"/>
          <w:sz w:val="24"/>
          <w:szCs w:val="24"/>
        </w:rPr>
      </w:pPr>
      <w:r w:rsidRPr="005C772E">
        <w:rPr>
          <w:rFonts w:ascii="Arial" w:hAnsi="Arial" w:cs="Arial"/>
          <w:sz w:val="24"/>
          <w:szCs w:val="24"/>
        </w:rPr>
        <w:t>Graduate Program Coordinator; Department Chair; Graduate Committee; Department Curriculum Committee, as needed; in consultation with the Dean of Graduate Studies, Enrollment Services, and Senate quality assurance bodies where required.</w:t>
      </w:r>
    </w:p>
    <w:p w14:paraId="1FBC278F"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Timeline</w:t>
      </w:r>
    </w:p>
    <w:p w14:paraId="10466741" w14:textId="77777777" w:rsidR="005C772E" w:rsidRPr="005C772E" w:rsidRDefault="005C772E" w:rsidP="005C772E">
      <w:pPr>
        <w:rPr>
          <w:rFonts w:ascii="Arial" w:hAnsi="Arial" w:cs="Arial"/>
          <w:sz w:val="24"/>
          <w:szCs w:val="24"/>
        </w:rPr>
      </w:pPr>
      <w:r w:rsidRPr="005C772E">
        <w:rPr>
          <w:rFonts w:ascii="Arial" w:hAnsi="Arial" w:cs="Arial"/>
          <w:b/>
          <w:bCs/>
          <w:sz w:val="24"/>
          <w:szCs w:val="24"/>
        </w:rPr>
        <w:t>2025–2026</w:t>
      </w:r>
      <w:r w:rsidRPr="005C772E">
        <w:rPr>
          <w:rFonts w:ascii="Arial" w:hAnsi="Arial" w:cs="Arial"/>
          <w:sz w:val="24"/>
          <w:szCs w:val="24"/>
        </w:rPr>
        <w:t>: Departmental review and development of proposals relating to the MA thesis defense, “Pass with Distinction,” and part-time/flex-time options.</w:t>
      </w:r>
    </w:p>
    <w:p w14:paraId="77F3D4F8" w14:textId="77777777" w:rsidR="005C772E" w:rsidRPr="005C772E" w:rsidRDefault="005C772E" w:rsidP="005C772E">
      <w:pPr>
        <w:rPr>
          <w:rFonts w:ascii="Arial" w:hAnsi="Arial" w:cs="Arial"/>
          <w:sz w:val="24"/>
          <w:szCs w:val="24"/>
        </w:rPr>
      </w:pPr>
      <w:r w:rsidRPr="005C772E">
        <w:rPr>
          <w:rFonts w:ascii="Arial" w:hAnsi="Arial" w:cs="Arial"/>
          <w:b/>
          <w:bCs/>
          <w:sz w:val="24"/>
          <w:szCs w:val="24"/>
        </w:rPr>
        <w:t>2026–2027</w:t>
      </w:r>
      <w:r w:rsidRPr="005C772E">
        <w:rPr>
          <w:rFonts w:ascii="Arial" w:hAnsi="Arial" w:cs="Arial"/>
          <w:sz w:val="24"/>
          <w:szCs w:val="24"/>
        </w:rPr>
        <w:t>: Consultation with Graduate Studies and other relevant university bodies; preparation and submission of calendar, regulatory, and/or major modification materials as required.</w:t>
      </w:r>
    </w:p>
    <w:p w14:paraId="5AEEBC4F" w14:textId="18A799FD" w:rsidR="005C772E" w:rsidRPr="005C772E" w:rsidRDefault="005C772E" w:rsidP="005C772E">
      <w:pPr>
        <w:rPr>
          <w:rFonts w:ascii="Arial" w:hAnsi="Arial" w:cs="Arial"/>
          <w:sz w:val="24"/>
          <w:szCs w:val="24"/>
        </w:rPr>
      </w:pPr>
      <w:r w:rsidRPr="005C772E">
        <w:rPr>
          <w:rFonts w:ascii="Arial" w:hAnsi="Arial" w:cs="Arial"/>
          <w:b/>
          <w:bCs/>
          <w:sz w:val="24"/>
          <w:szCs w:val="24"/>
        </w:rPr>
        <w:t>2027–2028</w:t>
      </w:r>
      <w:r w:rsidRPr="005C772E">
        <w:rPr>
          <w:rFonts w:ascii="Arial" w:hAnsi="Arial" w:cs="Arial"/>
          <w:sz w:val="24"/>
          <w:szCs w:val="24"/>
        </w:rPr>
        <w:t>: Implementation of approved changes.</w:t>
      </w:r>
    </w:p>
    <w:p w14:paraId="13BB1677" w14:textId="77777777" w:rsidR="005C772E" w:rsidRPr="005C772E" w:rsidRDefault="005C772E" w:rsidP="005C772E">
      <w:pPr>
        <w:rPr>
          <w:rFonts w:ascii="Arial" w:hAnsi="Arial" w:cs="Arial"/>
          <w:sz w:val="24"/>
          <w:szCs w:val="24"/>
        </w:rPr>
      </w:pPr>
    </w:p>
    <w:p w14:paraId="0B599F10"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Recommendation Priority 3</w:t>
      </w:r>
      <w:r w:rsidRPr="005C772E">
        <w:rPr>
          <w:rFonts w:ascii="Arial" w:hAnsi="Arial" w:cs="Arial"/>
          <w:sz w:val="24"/>
          <w:szCs w:val="24"/>
        </w:rPr>
        <w:t>: Program Repositioning, Curricular Renewal, and Strategic Planning (Recommendations 1, 2, 3, 4, and 5)</w:t>
      </w:r>
    </w:p>
    <w:p w14:paraId="61026073"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lastRenderedPageBreak/>
        <w:t>Summary Statement</w:t>
      </w:r>
    </w:p>
    <w:p w14:paraId="7CEF8663" w14:textId="70CB2CB0" w:rsidR="005C772E" w:rsidRPr="005C772E" w:rsidRDefault="005C772E" w:rsidP="005C772E">
      <w:pPr>
        <w:rPr>
          <w:rFonts w:ascii="Arial" w:hAnsi="Arial" w:cs="Arial"/>
          <w:sz w:val="24"/>
          <w:szCs w:val="24"/>
        </w:rPr>
      </w:pPr>
      <w:r w:rsidRPr="005C772E">
        <w:rPr>
          <w:rFonts w:ascii="Arial" w:hAnsi="Arial" w:cs="Arial"/>
          <w:sz w:val="24"/>
          <w:szCs w:val="24"/>
        </w:rPr>
        <w:t>The Department has undertaken substantial discussion and preliminary planning in response to Recommendations 1, 2, 3, 4, and 5 of the cyclical review, particularly in relation to streams, certificates, interdisciplinary opportunities, and broader curricular renewal. While the Department was initially interested in developing more specialized undergraduate pathways, subsequent Curricular Vitality discussions, changing resource conditions, and shifts in faculty complement have made it necessary to reassess which options are both pedagogically desirable and practically sustainable. As a result, the Department has moved into a broader phase of strategic program review focused on identifying realistic and forward-looking directions for Sociology programming.</w:t>
      </w:r>
    </w:p>
    <w:p w14:paraId="0C03872B"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Actions for Implementation</w:t>
      </w:r>
    </w:p>
    <w:p w14:paraId="0B437D23" w14:textId="3D7E5B77" w:rsidR="005C772E" w:rsidRPr="005C772E" w:rsidRDefault="005C772E" w:rsidP="005C772E">
      <w:pPr>
        <w:rPr>
          <w:rFonts w:ascii="Arial" w:hAnsi="Arial" w:cs="Arial"/>
          <w:sz w:val="24"/>
          <w:szCs w:val="24"/>
        </w:rPr>
      </w:pPr>
      <w:r w:rsidRPr="005C772E">
        <w:rPr>
          <w:rFonts w:ascii="Arial" w:hAnsi="Arial" w:cs="Arial"/>
          <w:sz w:val="24"/>
          <w:szCs w:val="24"/>
        </w:rPr>
        <w:t xml:space="preserve">Following the cyclical review, the Department gave serious consideration to the development of a </w:t>
      </w:r>
      <w:r w:rsidRPr="005C772E">
        <w:rPr>
          <w:rFonts w:ascii="Arial" w:hAnsi="Arial" w:cs="Arial"/>
          <w:b/>
          <w:bCs/>
          <w:sz w:val="24"/>
          <w:szCs w:val="24"/>
        </w:rPr>
        <w:t>research methods certificate</w:t>
      </w:r>
      <w:r w:rsidRPr="005C772E">
        <w:rPr>
          <w:rFonts w:ascii="Arial" w:hAnsi="Arial" w:cs="Arial"/>
          <w:sz w:val="24"/>
          <w:szCs w:val="24"/>
        </w:rPr>
        <w:t xml:space="preserve"> and, separately, a </w:t>
      </w:r>
      <w:proofErr w:type="gramStart"/>
      <w:r w:rsidRPr="005C772E">
        <w:rPr>
          <w:rFonts w:ascii="Arial" w:hAnsi="Arial" w:cs="Arial"/>
          <w:b/>
          <w:bCs/>
          <w:sz w:val="24"/>
          <w:szCs w:val="24"/>
        </w:rPr>
        <w:t>social determinants of health/medical sociology specialization</w:t>
      </w:r>
      <w:proofErr w:type="gramEnd"/>
      <w:r w:rsidRPr="005C772E">
        <w:rPr>
          <w:rFonts w:ascii="Arial" w:hAnsi="Arial" w:cs="Arial"/>
          <w:sz w:val="24"/>
          <w:szCs w:val="24"/>
        </w:rPr>
        <w:t>. Both ideas were seen as potentially strong responses to the review recommendations and as possible supports for recruitment and retention. The Department remains convinced that research methods training is an important strength within Sociology and a potentially valuable area for future credentialing. At the same time, consultations undertaken through the Curricular Vitality process indicated that stronger evidence of student demand would be needed before moving forward with a formal methods credential. In addition, the Department has been encouraged to think about methods delivery in coordination with other units rather than through a stand-alone specialization housed primarily in Sociology. For these reasons, the Department has decided not to proceed immediately with a research methods certificate, while leaving open the possibility of revisiting it in the future.</w:t>
      </w:r>
    </w:p>
    <w:p w14:paraId="08B43983" w14:textId="3387C411" w:rsidR="005C772E" w:rsidRPr="005C772E" w:rsidRDefault="005C772E" w:rsidP="005C772E">
      <w:pPr>
        <w:rPr>
          <w:rFonts w:ascii="Arial" w:hAnsi="Arial" w:cs="Arial"/>
          <w:sz w:val="24"/>
          <w:szCs w:val="24"/>
        </w:rPr>
      </w:pPr>
      <w:r w:rsidRPr="005C772E">
        <w:rPr>
          <w:rFonts w:ascii="Arial" w:hAnsi="Arial" w:cs="Arial"/>
          <w:sz w:val="24"/>
          <w:szCs w:val="24"/>
        </w:rPr>
        <w:t xml:space="preserve">The Department also undertook significant work toward a </w:t>
      </w:r>
      <w:proofErr w:type="gramStart"/>
      <w:r w:rsidRPr="005C772E">
        <w:rPr>
          <w:rFonts w:ascii="Arial" w:hAnsi="Arial" w:cs="Arial"/>
          <w:b/>
          <w:bCs/>
          <w:sz w:val="24"/>
          <w:szCs w:val="24"/>
        </w:rPr>
        <w:t>social determinants of health/medical sociology specialization</w:t>
      </w:r>
      <w:proofErr w:type="gramEnd"/>
      <w:r w:rsidRPr="005C772E">
        <w:rPr>
          <w:rFonts w:ascii="Arial" w:hAnsi="Arial" w:cs="Arial"/>
          <w:sz w:val="24"/>
          <w:szCs w:val="24"/>
        </w:rPr>
        <w:t xml:space="preserve"> and had developed a proposal. However, surprise changes in our faculty complement without consultation and an accompanying drastic reduction in teaching resources affected the feasibility of this initiative. In particular, the loss of a key faculty resource in health sociology made it impossible to sustain the planned package of course offerings that would have supported such a specialization. Although student interest in health sociology remains strong, and the Department continues to see this as an area of intellectual and applied importance, it does not currently view a </w:t>
      </w:r>
      <w:proofErr w:type="gramStart"/>
      <w:r w:rsidRPr="005C772E">
        <w:rPr>
          <w:rFonts w:ascii="Arial" w:hAnsi="Arial" w:cs="Arial"/>
          <w:sz w:val="24"/>
          <w:szCs w:val="24"/>
        </w:rPr>
        <w:t>formal social determinants of health/medical sociology specialization</w:t>
      </w:r>
      <w:proofErr w:type="gramEnd"/>
      <w:r w:rsidRPr="005C772E">
        <w:rPr>
          <w:rFonts w:ascii="Arial" w:hAnsi="Arial" w:cs="Arial"/>
          <w:sz w:val="24"/>
          <w:szCs w:val="24"/>
        </w:rPr>
        <w:t xml:space="preserve"> as viable under existing resource conditions.</w:t>
      </w:r>
    </w:p>
    <w:p w14:paraId="2C21C9F0" w14:textId="7A797FDD" w:rsidR="005C772E" w:rsidRPr="005C772E" w:rsidRDefault="005C772E" w:rsidP="005C772E">
      <w:pPr>
        <w:rPr>
          <w:rFonts w:ascii="Arial" w:hAnsi="Arial" w:cs="Arial"/>
          <w:sz w:val="24"/>
          <w:szCs w:val="24"/>
        </w:rPr>
      </w:pPr>
      <w:proofErr w:type="gramStart"/>
      <w:r w:rsidRPr="005C772E">
        <w:rPr>
          <w:rFonts w:ascii="Arial" w:hAnsi="Arial" w:cs="Arial"/>
          <w:sz w:val="24"/>
          <w:szCs w:val="24"/>
        </w:rPr>
        <w:t>In light of</w:t>
      </w:r>
      <w:proofErr w:type="gramEnd"/>
      <w:r w:rsidRPr="005C772E">
        <w:rPr>
          <w:rFonts w:ascii="Arial" w:hAnsi="Arial" w:cs="Arial"/>
          <w:sz w:val="24"/>
          <w:szCs w:val="24"/>
        </w:rPr>
        <w:t xml:space="preserve"> these developments, the Department is now considering a broader repositioning of its undergraduate programming. One possibility under discussion is a move away from multiple internal streams and toward a more </w:t>
      </w:r>
      <w:r w:rsidRPr="005C772E">
        <w:rPr>
          <w:rFonts w:ascii="Arial" w:hAnsi="Arial" w:cs="Arial"/>
          <w:b/>
          <w:bCs/>
          <w:sz w:val="24"/>
          <w:szCs w:val="24"/>
        </w:rPr>
        <w:t>general Sociology program structure</w:t>
      </w:r>
      <w:r w:rsidRPr="005C772E">
        <w:rPr>
          <w:rFonts w:ascii="Arial" w:hAnsi="Arial" w:cs="Arial"/>
          <w:sz w:val="24"/>
          <w:szCs w:val="24"/>
        </w:rPr>
        <w:t xml:space="preserve">. This reflects the practical reality that specialization requires sufficient and stable faculty expertise across subfields. The Department is therefore </w:t>
      </w:r>
      <w:r w:rsidRPr="005C772E">
        <w:rPr>
          <w:rFonts w:ascii="Arial" w:hAnsi="Arial" w:cs="Arial"/>
          <w:sz w:val="24"/>
          <w:szCs w:val="24"/>
        </w:rPr>
        <w:lastRenderedPageBreak/>
        <w:t xml:space="preserve">reassessing whether its current stream structure remains the best fit for present conditions and future planning. As part of this work, the Department is also interested in revisiting and updating its </w:t>
      </w:r>
      <w:r w:rsidRPr="005C772E">
        <w:rPr>
          <w:rFonts w:ascii="Arial" w:hAnsi="Arial" w:cs="Arial"/>
          <w:b/>
          <w:bCs/>
          <w:sz w:val="24"/>
          <w:szCs w:val="24"/>
        </w:rPr>
        <w:t>program learning objectives</w:t>
      </w:r>
      <w:r w:rsidRPr="005C772E">
        <w:rPr>
          <w:rFonts w:ascii="Arial" w:hAnsi="Arial" w:cs="Arial"/>
          <w:sz w:val="24"/>
          <w:szCs w:val="24"/>
        </w:rPr>
        <w:t xml:space="preserve"> so that they better reflect current curriculum, student needs, and the comparative standards of sociology programs at similar universities.</w:t>
      </w:r>
    </w:p>
    <w:p w14:paraId="4618461E" w14:textId="222B2A43" w:rsidR="005C772E" w:rsidRPr="005C772E" w:rsidRDefault="005C772E" w:rsidP="005C772E">
      <w:pPr>
        <w:rPr>
          <w:rFonts w:ascii="Arial" w:hAnsi="Arial" w:cs="Arial"/>
          <w:sz w:val="24"/>
          <w:szCs w:val="24"/>
        </w:rPr>
      </w:pPr>
      <w:r w:rsidRPr="005C772E">
        <w:rPr>
          <w:rFonts w:ascii="Arial" w:hAnsi="Arial" w:cs="Arial"/>
          <w:sz w:val="24"/>
          <w:szCs w:val="24"/>
        </w:rPr>
        <w:t xml:space="preserve">The Department is also exploring several possible directions for future program development: One option is a more intentionally </w:t>
      </w:r>
      <w:r w:rsidRPr="005C772E">
        <w:rPr>
          <w:rFonts w:ascii="Arial" w:hAnsi="Arial" w:cs="Arial"/>
          <w:b/>
          <w:bCs/>
          <w:sz w:val="24"/>
          <w:szCs w:val="24"/>
        </w:rPr>
        <w:t>online program structure</w:t>
      </w:r>
      <w:r w:rsidRPr="005C772E">
        <w:rPr>
          <w:rFonts w:ascii="Arial" w:hAnsi="Arial" w:cs="Arial"/>
          <w:sz w:val="24"/>
          <w:szCs w:val="24"/>
        </w:rPr>
        <w:t xml:space="preserve">. The Department recognizes that this would represent a significant change and a major modification. However, given the Department’s current pattern of course delivery, faculty members’ increased experience with online teaching, and changing student expectations since the pandemic period, this option is now being taken seriously as a possible way to streamline Sociology program delivery across campuses while maintaining access and efficiency. The Department is also considering </w:t>
      </w:r>
      <w:r w:rsidRPr="005C772E">
        <w:rPr>
          <w:rFonts w:ascii="Arial" w:hAnsi="Arial" w:cs="Arial"/>
          <w:b/>
          <w:bCs/>
          <w:sz w:val="24"/>
          <w:szCs w:val="24"/>
        </w:rPr>
        <w:t>reinstating the three-year BA in Sociology at the Orillia campus</w:t>
      </w:r>
      <w:r w:rsidRPr="005C772E">
        <w:rPr>
          <w:rFonts w:ascii="Arial" w:hAnsi="Arial" w:cs="Arial"/>
          <w:sz w:val="24"/>
          <w:szCs w:val="24"/>
        </w:rPr>
        <w:t xml:space="preserve">, particularly since many of the necessary courses are already offered in forms that could support such a pathway without major additional workload. This possibility has also been considered in relation to student equity and collaboration with Interdisciplinary Studies. In addition, the Department is interested in exploring, with appropriate partners, whether a Sociology </w:t>
      </w:r>
      <w:r w:rsidRPr="005C772E">
        <w:rPr>
          <w:rFonts w:ascii="Arial" w:hAnsi="Arial" w:cs="Arial"/>
          <w:b/>
          <w:bCs/>
          <w:sz w:val="24"/>
          <w:szCs w:val="24"/>
        </w:rPr>
        <w:t>Bachelor of Science pathway</w:t>
      </w:r>
      <w:r w:rsidRPr="005C772E">
        <w:rPr>
          <w:rFonts w:ascii="Arial" w:hAnsi="Arial" w:cs="Arial"/>
          <w:sz w:val="24"/>
          <w:szCs w:val="24"/>
        </w:rPr>
        <w:t xml:space="preserve"> or related option could be developed in the future for students interested in sociology in relation to health, social science research, or more applied fields.</w:t>
      </w:r>
    </w:p>
    <w:p w14:paraId="3112600B" w14:textId="6D01123F" w:rsidR="005C772E" w:rsidRPr="005C772E" w:rsidRDefault="005C772E" w:rsidP="005C772E">
      <w:pPr>
        <w:rPr>
          <w:rFonts w:ascii="Arial" w:hAnsi="Arial" w:cs="Arial"/>
          <w:sz w:val="24"/>
          <w:szCs w:val="24"/>
        </w:rPr>
      </w:pPr>
      <w:r w:rsidRPr="005C772E">
        <w:rPr>
          <w:rFonts w:ascii="Arial" w:hAnsi="Arial" w:cs="Arial"/>
          <w:sz w:val="24"/>
          <w:szCs w:val="24"/>
        </w:rPr>
        <w:t xml:space="preserve">The Department recognizes that not </w:t>
      </w:r>
      <w:proofErr w:type="gramStart"/>
      <w:r w:rsidRPr="005C772E">
        <w:rPr>
          <w:rFonts w:ascii="Arial" w:hAnsi="Arial" w:cs="Arial"/>
          <w:sz w:val="24"/>
          <w:szCs w:val="24"/>
        </w:rPr>
        <w:t>all of</w:t>
      </w:r>
      <w:proofErr w:type="gramEnd"/>
      <w:r w:rsidRPr="005C772E">
        <w:rPr>
          <w:rFonts w:ascii="Arial" w:hAnsi="Arial" w:cs="Arial"/>
          <w:sz w:val="24"/>
          <w:szCs w:val="24"/>
        </w:rPr>
        <w:t xml:space="preserve"> these possibilities will prove practical or attainable. For that reason, the next stage of implementation will involve further consultation with the Deputy Provost, the Teaching Commons, other faculty deans, and other relevant academic leaders </w:t>
      </w:r>
      <w:proofErr w:type="gramStart"/>
      <w:r w:rsidRPr="005C772E">
        <w:rPr>
          <w:rFonts w:ascii="Arial" w:hAnsi="Arial" w:cs="Arial"/>
          <w:sz w:val="24"/>
          <w:szCs w:val="24"/>
        </w:rPr>
        <w:t>in order to</w:t>
      </w:r>
      <w:proofErr w:type="gramEnd"/>
      <w:r w:rsidRPr="005C772E">
        <w:rPr>
          <w:rFonts w:ascii="Arial" w:hAnsi="Arial" w:cs="Arial"/>
          <w:sz w:val="24"/>
          <w:szCs w:val="24"/>
        </w:rPr>
        <w:t xml:space="preserve"> determine which options are feasible given the Department’s current expertise, staffing, and institutional context. The Department sees this as part of a necessary process of program renewal and strategic planning rather than a retreat from the cyclical review recommendations. Rather, it is an effort to respond to them in a realistic and sustainable way.</w:t>
      </w:r>
    </w:p>
    <w:p w14:paraId="28FB47DC"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Role/Person Responsible for Implementation</w:t>
      </w:r>
    </w:p>
    <w:p w14:paraId="6F996CE2" w14:textId="5D25E6C8" w:rsidR="005C772E" w:rsidRPr="005C772E" w:rsidRDefault="005C772E" w:rsidP="005C772E">
      <w:pPr>
        <w:rPr>
          <w:rFonts w:ascii="Arial" w:hAnsi="Arial" w:cs="Arial"/>
          <w:sz w:val="24"/>
          <w:szCs w:val="24"/>
        </w:rPr>
      </w:pPr>
      <w:r w:rsidRPr="005C772E">
        <w:rPr>
          <w:rFonts w:ascii="Arial" w:hAnsi="Arial" w:cs="Arial"/>
          <w:sz w:val="24"/>
          <w:szCs w:val="24"/>
        </w:rPr>
        <w:t>Department Chair; Undergraduate Studies Committee/Curriculum Committee; Department members; in consultation with the Deputy Provost, Teaching Commons, relevant faculty Deans, and relevant partner departments and faculties.</w:t>
      </w:r>
    </w:p>
    <w:p w14:paraId="6BF309E4" w14:textId="77777777" w:rsidR="005C772E" w:rsidRPr="005C772E" w:rsidRDefault="005C772E" w:rsidP="005C772E">
      <w:pPr>
        <w:rPr>
          <w:rFonts w:ascii="Arial" w:hAnsi="Arial" w:cs="Arial"/>
          <w:b/>
          <w:bCs/>
          <w:sz w:val="24"/>
          <w:szCs w:val="24"/>
        </w:rPr>
      </w:pPr>
      <w:r w:rsidRPr="005C772E">
        <w:rPr>
          <w:rFonts w:ascii="Arial" w:hAnsi="Arial" w:cs="Arial"/>
          <w:b/>
          <w:bCs/>
          <w:sz w:val="24"/>
          <w:szCs w:val="24"/>
        </w:rPr>
        <w:t>Timeline</w:t>
      </w:r>
    </w:p>
    <w:p w14:paraId="65CF7054" w14:textId="77777777" w:rsidR="005C772E" w:rsidRPr="005C772E" w:rsidRDefault="005C772E" w:rsidP="005C772E">
      <w:pPr>
        <w:rPr>
          <w:rFonts w:ascii="Arial" w:hAnsi="Arial" w:cs="Arial"/>
          <w:sz w:val="24"/>
          <w:szCs w:val="24"/>
        </w:rPr>
      </w:pPr>
      <w:r w:rsidRPr="005C772E">
        <w:rPr>
          <w:rFonts w:ascii="Arial" w:hAnsi="Arial" w:cs="Arial"/>
          <w:b/>
          <w:bCs/>
          <w:sz w:val="24"/>
          <w:szCs w:val="24"/>
        </w:rPr>
        <w:t>2024–2025</w:t>
      </w:r>
      <w:r w:rsidRPr="005C772E">
        <w:rPr>
          <w:rFonts w:ascii="Arial" w:hAnsi="Arial" w:cs="Arial"/>
          <w:sz w:val="24"/>
          <w:szCs w:val="24"/>
        </w:rPr>
        <w:t>: Initial exploration of certificate, specialization, and stream options through Curricular Vitality discussions; review of resource implications and faculty complement.</w:t>
      </w:r>
    </w:p>
    <w:p w14:paraId="62153422" w14:textId="77777777" w:rsidR="005C772E" w:rsidRPr="005C772E" w:rsidRDefault="005C772E" w:rsidP="005C772E">
      <w:pPr>
        <w:rPr>
          <w:rFonts w:ascii="Arial" w:hAnsi="Arial" w:cs="Arial"/>
          <w:sz w:val="24"/>
          <w:szCs w:val="24"/>
        </w:rPr>
      </w:pPr>
      <w:r w:rsidRPr="005C772E">
        <w:rPr>
          <w:rFonts w:ascii="Arial" w:hAnsi="Arial" w:cs="Arial"/>
          <w:b/>
          <w:bCs/>
          <w:sz w:val="24"/>
          <w:szCs w:val="24"/>
        </w:rPr>
        <w:t>2025–2026</w:t>
      </w:r>
      <w:r w:rsidRPr="005C772E">
        <w:rPr>
          <w:rFonts w:ascii="Arial" w:hAnsi="Arial" w:cs="Arial"/>
          <w:sz w:val="24"/>
          <w:szCs w:val="24"/>
        </w:rPr>
        <w:t>: Departmental review of strategic program directions, including streams, online delivery options, Orillia BA reinstatement, possible new program configurations, and program learning objectives.</w:t>
      </w:r>
    </w:p>
    <w:p w14:paraId="016249D7" w14:textId="627DF296" w:rsidR="005C772E" w:rsidRPr="005C772E" w:rsidRDefault="005C772E" w:rsidP="005C772E">
      <w:pPr>
        <w:rPr>
          <w:rFonts w:ascii="Arial" w:hAnsi="Arial" w:cs="Arial"/>
          <w:sz w:val="24"/>
          <w:szCs w:val="24"/>
        </w:rPr>
      </w:pPr>
      <w:r w:rsidRPr="005C772E">
        <w:rPr>
          <w:rFonts w:ascii="Arial" w:hAnsi="Arial" w:cs="Arial"/>
          <w:b/>
          <w:bCs/>
          <w:sz w:val="24"/>
          <w:szCs w:val="24"/>
        </w:rPr>
        <w:lastRenderedPageBreak/>
        <w:t>2026–2027</w:t>
      </w:r>
      <w:r w:rsidRPr="005C772E">
        <w:rPr>
          <w:rFonts w:ascii="Arial" w:hAnsi="Arial" w:cs="Arial"/>
          <w:sz w:val="24"/>
          <w:szCs w:val="24"/>
        </w:rPr>
        <w:t>: Consultation with relevant academic offices and development of formal proposals for those options determined to be feasible and sustainable</w:t>
      </w:r>
    </w:p>
    <w:sectPr w:rsidR="005C772E" w:rsidRPr="005C772E" w:rsidSect="00E60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ECB8" w14:textId="77777777" w:rsidR="00E708E9" w:rsidRDefault="00E708E9" w:rsidP="00A35A85">
      <w:pPr>
        <w:spacing w:after="0" w:line="240" w:lineRule="auto"/>
      </w:pPr>
      <w:r>
        <w:separator/>
      </w:r>
    </w:p>
  </w:endnote>
  <w:endnote w:type="continuationSeparator" w:id="0">
    <w:p w14:paraId="0C666486" w14:textId="77777777" w:rsidR="00E708E9" w:rsidRDefault="00E708E9"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EndPr>
      <w:rPr>
        <w:rStyle w:val="PageNumber"/>
      </w:rPr>
    </w:sdtEnd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58B86D97" w:rsidR="00A35A85" w:rsidRPr="003B3872" w:rsidRDefault="00B37A2C">
    <w:pPr>
      <w:pStyle w:val="Footer"/>
      <w:rPr>
        <w:rFonts w:ascii="Arial" w:hAnsi="Arial"/>
        <w:sz w:val="20"/>
        <w:szCs w:val="20"/>
      </w:rPr>
    </w:pPr>
    <w:r w:rsidRPr="009E5A22">
      <w:rPr>
        <w:rFonts w:ascii="Arial" w:hAnsi="Arial"/>
        <w:sz w:val="20"/>
        <w:szCs w:val="20"/>
      </w:rPr>
      <w:t>Department</w:t>
    </w:r>
    <w:r w:rsidR="009E5A22">
      <w:rPr>
        <w:rFonts w:ascii="Arial" w:hAnsi="Arial"/>
        <w:sz w:val="20"/>
        <w:szCs w:val="20"/>
      </w:rPr>
      <w:t xml:space="preserve"> of Sociology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8EE1" w14:textId="77777777" w:rsidR="00E708E9" w:rsidRDefault="00E708E9" w:rsidP="00A35A85">
      <w:pPr>
        <w:spacing w:after="0" w:line="240" w:lineRule="auto"/>
      </w:pPr>
      <w:r>
        <w:separator/>
      </w:r>
    </w:p>
  </w:footnote>
  <w:footnote w:type="continuationSeparator" w:id="0">
    <w:p w14:paraId="2B1B8AB7" w14:textId="77777777" w:rsidR="00E708E9" w:rsidRDefault="00E708E9"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36F6"/>
    <w:multiLevelType w:val="hybridMultilevel"/>
    <w:tmpl w:val="8370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DD38A0"/>
    <w:multiLevelType w:val="hybridMultilevel"/>
    <w:tmpl w:val="36F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10"/>
  </w:num>
  <w:num w:numId="2" w16cid:durableId="631328774">
    <w:abstractNumId w:val="1"/>
  </w:num>
  <w:num w:numId="3" w16cid:durableId="720062047">
    <w:abstractNumId w:val="13"/>
  </w:num>
  <w:num w:numId="4" w16cid:durableId="1403486037">
    <w:abstractNumId w:val="15"/>
  </w:num>
  <w:num w:numId="5" w16cid:durableId="696000997">
    <w:abstractNumId w:val="3"/>
  </w:num>
  <w:num w:numId="6" w16cid:durableId="1855613146">
    <w:abstractNumId w:val="16"/>
  </w:num>
  <w:num w:numId="7" w16cid:durableId="2093575815">
    <w:abstractNumId w:val="7"/>
  </w:num>
  <w:num w:numId="8" w16cid:durableId="916137292">
    <w:abstractNumId w:val="6"/>
  </w:num>
  <w:num w:numId="9" w16cid:durableId="1720595406">
    <w:abstractNumId w:val="9"/>
  </w:num>
  <w:num w:numId="10" w16cid:durableId="1159425994">
    <w:abstractNumId w:val="2"/>
  </w:num>
  <w:num w:numId="11" w16cid:durableId="739644762">
    <w:abstractNumId w:val="14"/>
  </w:num>
  <w:num w:numId="12" w16cid:durableId="487022177">
    <w:abstractNumId w:val="12"/>
  </w:num>
  <w:num w:numId="13" w16cid:durableId="2031182515">
    <w:abstractNumId w:val="4"/>
  </w:num>
  <w:num w:numId="14" w16cid:durableId="401949860">
    <w:abstractNumId w:val="0"/>
  </w:num>
  <w:num w:numId="15" w16cid:durableId="1565097954">
    <w:abstractNumId w:val="8"/>
  </w:num>
  <w:num w:numId="16" w16cid:durableId="527106245">
    <w:abstractNumId w:val="5"/>
  </w:num>
  <w:num w:numId="17" w16cid:durableId="7477253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51BD9"/>
    <w:rsid w:val="00072250"/>
    <w:rsid w:val="000A3DEE"/>
    <w:rsid w:val="000E31AF"/>
    <w:rsid w:val="001039DE"/>
    <w:rsid w:val="00126818"/>
    <w:rsid w:val="001351B0"/>
    <w:rsid w:val="001377E7"/>
    <w:rsid w:val="00146093"/>
    <w:rsid w:val="00146BC1"/>
    <w:rsid w:val="001A6FC9"/>
    <w:rsid w:val="001B0FA5"/>
    <w:rsid w:val="001B21C4"/>
    <w:rsid w:val="001B77CB"/>
    <w:rsid w:val="001C5582"/>
    <w:rsid w:val="001F2A05"/>
    <w:rsid w:val="00201717"/>
    <w:rsid w:val="002110C5"/>
    <w:rsid w:val="002225CF"/>
    <w:rsid w:val="00263C3C"/>
    <w:rsid w:val="00274889"/>
    <w:rsid w:val="00280BF5"/>
    <w:rsid w:val="00307452"/>
    <w:rsid w:val="00315A19"/>
    <w:rsid w:val="003679FC"/>
    <w:rsid w:val="003B3872"/>
    <w:rsid w:val="003C1E1C"/>
    <w:rsid w:val="003D20B4"/>
    <w:rsid w:val="003D5F24"/>
    <w:rsid w:val="003E1C0F"/>
    <w:rsid w:val="003F6382"/>
    <w:rsid w:val="00441574"/>
    <w:rsid w:val="00454185"/>
    <w:rsid w:val="00455B62"/>
    <w:rsid w:val="00480140"/>
    <w:rsid w:val="00493B54"/>
    <w:rsid w:val="004E0E87"/>
    <w:rsid w:val="0050374C"/>
    <w:rsid w:val="0052183D"/>
    <w:rsid w:val="005536BD"/>
    <w:rsid w:val="00596438"/>
    <w:rsid w:val="00596C82"/>
    <w:rsid w:val="005B595F"/>
    <w:rsid w:val="005C772E"/>
    <w:rsid w:val="005D1E6E"/>
    <w:rsid w:val="005D786D"/>
    <w:rsid w:val="005E1934"/>
    <w:rsid w:val="00606EBA"/>
    <w:rsid w:val="00634086"/>
    <w:rsid w:val="006347E2"/>
    <w:rsid w:val="00654EEA"/>
    <w:rsid w:val="00693CAE"/>
    <w:rsid w:val="006D1D95"/>
    <w:rsid w:val="007113B3"/>
    <w:rsid w:val="007262E8"/>
    <w:rsid w:val="007477D8"/>
    <w:rsid w:val="00754B7B"/>
    <w:rsid w:val="0077711B"/>
    <w:rsid w:val="007841FE"/>
    <w:rsid w:val="007D41BC"/>
    <w:rsid w:val="007E7B01"/>
    <w:rsid w:val="007F6E42"/>
    <w:rsid w:val="00837764"/>
    <w:rsid w:val="008533C4"/>
    <w:rsid w:val="00865DEE"/>
    <w:rsid w:val="00885A41"/>
    <w:rsid w:val="008D4521"/>
    <w:rsid w:val="008E743D"/>
    <w:rsid w:val="00931EBE"/>
    <w:rsid w:val="00932F1E"/>
    <w:rsid w:val="009363F1"/>
    <w:rsid w:val="009850BE"/>
    <w:rsid w:val="009E5A22"/>
    <w:rsid w:val="009F4927"/>
    <w:rsid w:val="00A23D06"/>
    <w:rsid w:val="00A23E61"/>
    <w:rsid w:val="00A24A49"/>
    <w:rsid w:val="00A35A85"/>
    <w:rsid w:val="00A51569"/>
    <w:rsid w:val="00A648E8"/>
    <w:rsid w:val="00A81AA7"/>
    <w:rsid w:val="00A909EF"/>
    <w:rsid w:val="00A94298"/>
    <w:rsid w:val="00AE440D"/>
    <w:rsid w:val="00B37A2C"/>
    <w:rsid w:val="00B45BDD"/>
    <w:rsid w:val="00B5115E"/>
    <w:rsid w:val="00B71DA3"/>
    <w:rsid w:val="00B806A1"/>
    <w:rsid w:val="00BE04C3"/>
    <w:rsid w:val="00C72993"/>
    <w:rsid w:val="00CA5583"/>
    <w:rsid w:val="00CB1039"/>
    <w:rsid w:val="00CB1EC8"/>
    <w:rsid w:val="00CB2602"/>
    <w:rsid w:val="00CC0D0F"/>
    <w:rsid w:val="00CF1013"/>
    <w:rsid w:val="00D0416B"/>
    <w:rsid w:val="00D15018"/>
    <w:rsid w:val="00D21979"/>
    <w:rsid w:val="00D262EE"/>
    <w:rsid w:val="00D31FDF"/>
    <w:rsid w:val="00D66A53"/>
    <w:rsid w:val="00D95271"/>
    <w:rsid w:val="00DB1178"/>
    <w:rsid w:val="00DD58DC"/>
    <w:rsid w:val="00DE41CE"/>
    <w:rsid w:val="00E60DA6"/>
    <w:rsid w:val="00E708E9"/>
    <w:rsid w:val="00E74F2F"/>
    <w:rsid w:val="00EB3FEC"/>
    <w:rsid w:val="00EE0B9C"/>
    <w:rsid w:val="00EF09B4"/>
    <w:rsid w:val="00F061E0"/>
    <w:rsid w:val="00F112D1"/>
    <w:rsid w:val="00F5451D"/>
    <w:rsid w:val="00F818F5"/>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 w:type="character" w:styleId="Hyperlink">
    <w:name w:val="Hyperlink"/>
    <w:basedOn w:val="DefaultParagraphFont"/>
    <w:uiPriority w:val="99"/>
    <w:unhideWhenUsed/>
    <w:rsid w:val="009E5A22"/>
    <w:rPr>
      <w:color w:val="0563C1" w:themeColor="hyperlink"/>
      <w:u w:val="single"/>
    </w:rPr>
  </w:style>
  <w:style w:type="character" w:styleId="UnresolvedMention">
    <w:name w:val="Unresolved Mention"/>
    <w:basedOn w:val="DefaultParagraphFont"/>
    <w:uiPriority w:val="99"/>
    <w:rsid w:val="009E5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6378">
      <w:bodyDiv w:val="1"/>
      <w:marLeft w:val="0"/>
      <w:marRight w:val="0"/>
      <w:marTop w:val="0"/>
      <w:marBottom w:val="0"/>
      <w:divBdr>
        <w:top w:val="none" w:sz="0" w:space="0" w:color="auto"/>
        <w:left w:val="none" w:sz="0" w:space="0" w:color="auto"/>
        <w:bottom w:val="none" w:sz="0" w:space="0" w:color="auto"/>
        <w:right w:val="none" w:sz="0" w:space="0" w:color="auto"/>
      </w:divBdr>
    </w:div>
    <w:div w:id="5837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Jodie Hannam</cp:lastModifiedBy>
  <cp:revision>3</cp:revision>
  <cp:lastPrinted>2019-10-01T17:58:00Z</cp:lastPrinted>
  <dcterms:created xsi:type="dcterms:W3CDTF">2026-04-21T18:21:00Z</dcterms:created>
  <dcterms:modified xsi:type="dcterms:W3CDTF">2026-04-21T18:56:00Z</dcterms:modified>
</cp:coreProperties>
</file>