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0FF6" w14:textId="2A8F43DE" w:rsidR="00EA4A5E" w:rsidRPr="00454C3B" w:rsidRDefault="000A4270" w:rsidP="00EA4A5E">
      <w:pPr>
        <w:shd w:val="clear" w:color="auto" w:fill="FFFFFF"/>
        <w:spacing w:before="300" w:after="300" w:line="240" w:lineRule="auto"/>
        <w:outlineLvl w:val="3"/>
        <w:rPr>
          <w:rFonts w:ascii="Open Sans" w:eastAsia="Times New Roman" w:hAnsi="Open Sans" w:cs="Open Sans"/>
          <w:b/>
          <w:bCs/>
          <w:color w:val="00427A"/>
          <w:sz w:val="29"/>
          <w:szCs w:val="29"/>
          <w:lang w:eastAsia="en-CA"/>
        </w:rPr>
      </w:pPr>
      <w:r w:rsidRPr="00454C3B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New Program</w:t>
      </w:r>
      <w:r w:rsidR="00C0093A" w:rsidRPr="00454C3B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s</w:t>
      </w:r>
      <w:r w:rsidRPr="00454C3B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 xml:space="preserve"> Process </w:t>
      </w:r>
      <w:r w:rsidR="00C0093A" w:rsidRPr="00454C3B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Phases and Steps</w:t>
      </w: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97"/>
      </w:tblGrid>
      <w:tr w:rsidR="00EA4A5E" w:rsidRPr="00454C3B" w14:paraId="78ED0062" w14:textId="77777777" w:rsidTr="001222EF">
        <w:trPr>
          <w:trHeight w:val="567"/>
          <w:jc w:val="center"/>
        </w:trPr>
        <w:tc>
          <w:tcPr>
            <w:tcW w:w="7371" w:type="dxa"/>
            <w:shd w:val="clear" w:color="auto" w:fill="D0CECE" w:themeFill="background2" w:themeFillShade="E6"/>
          </w:tcPr>
          <w:p w14:paraId="001271E7" w14:textId="77777777" w:rsidR="00EA4A5E" w:rsidRPr="00454C3B" w:rsidRDefault="00EA4A5E" w:rsidP="001222E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0" w:name="_Hlk121137092"/>
            <w:r w:rsidRPr="00454C3B">
              <w:rPr>
                <w:rFonts w:ascii="Segoe UI" w:hAnsi="Segoe UI" w:cs="Segoe UI"/>
                <w:b/>
                <w:bCs/>
                <w:sz w:val="22"/>
                <w:szCs w:val="22"/>
              </w:rPr>
              <w:t>Process Phases and Steps</w:t>
            </w:r>
          </w:p>
        </w:tc>
        <w:tc>
          <w:tcPr>
            <w:tcW w:w="2297" w:type="dxa"/>
            <w:shd w:val="clear" w:color="auto" w:fill="D0CECE" w:themeFill="background2" w:themeFillShade="E6"/>
          </w:tcPr>
          <w:p w14:paraId="5EA8485D" w14:textId="77777777" w:rsidR="00EA4A5E" w:rsidRPr="00454C3B" w:rsidRDefault="00EA4A5E" w:rsidP="001222E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b/>
                <w:bCs/>
                <w:sz w:val="22"/>
                <w:szCs w:val="22"/>
              </w:rPr>
              <w:t>Responsibility for Step in Process</w:t>
            </w:r>
          </w:p>
        </w:tc>
      </w:tr>
      <w:bookmarkEnd w:id="0"/>
      <w:tr w:rsidR="00EA4A5E" w:rsidRPr="00454C3B" w14:paraId="663ED3A4" w14:textId="77777777" w:rsidTr="001222EF">
        <w:trPr>
          <w:trHeight w:val="567"/>
          <w:jc w:val="center"/>
        </w:trPr>
        <w:tc>
          <w:tcPr>
            <w:tcW w:w="7371" w:type="dxa"/>
          </w:tcPr>
          <w:p w14:paraId="3734ACF5" w14:textId="23EFF430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b/>
                <w:sz w:val="22"/>
                <w:szCs w:val="22"/>
              </w:rPr>
              <w:t>Phase 1</w:t>
            </w:r>
            <w:r w:rsidR="00454C3B">
              <w:rPr>
                <w:rFonts w:ascii="Segoe UI" w:hAnsi="Segoe UI" w:cs="Segoe UI"/>
                <w:b/>
                <w:sz w:val="22"/>
                <w:szCs w:val="22"/>
              </w:rPr>
              <w:t xml:space="preserve"> Academic Unit and Senate</w:t>
            </w:r>
          </w:p>
        </w:tc>
        <w:tc>
          <w:tcPr>
            <w:tcW w:w="2297" w:type="dxa"/>
          </w:tcPr>
          <w:p w14:paraId="7ADC087E" w14:textId="77777777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454C3B" w14:paraId="3DB4E7A4" w14:textId="77777777" w:rsidTr="001222EF">
        <w:trPr>
          <w:trHeight w:val="567"/>
          <w:jc w:val="center"/>
        </w:trPr>
        <w:tc>
          <w:tcPr>
            <w:tcW w:w="7371" w:type="dxa"/>
          </w:tcPr>
          <w:p w14:paraId="134A1CD0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discusses proposed idea with Faculty Dean.</w:t>
            </w:r>
          </w:p>
        </w:tc>
        <w:tc>
          <w:tcPr>
            <w:tcW w:w="2297" w:type="dxa"/>
          </w:tcPr>
          <w:p w14:paraId="1D401010" w14:textId="77777777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Chair/Director/Coordinator &amp; Dean</w:t>
            </w:r>
          </w:p>
        </w:tc>
      </w:tr>
      <w:tr w:rsidR="00EA4A5E" w:rsidRPr="00454C3B" w14:paraId="5866B595" w14:textId="77777777" w:rsidTr="001222EF">
        <w:trPr>
          <w:trHeight w:val="567"/>
          <w:jc w:val="center"/>
        </w:trPr>
        <w:tc>
          <w:tcPr>
            <w:tcW w:w="7371" w:type="dxa"/>
          </w:tcPr>
          <w:p w14:paraId="60275066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contacts the Deputy Provost, who will arrange a meeting with appropriate Administrative offices.</w:t>
            </w:r>
          </w:p>
        </w:tc>
        <w:tc>
          <w:tcPr>
            <w:tcW w:w="2297" w:type="dxa"/>
          </w:tcPr>
          <w:p w14:paraId="5F444061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Chair/Director/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br/>
              <w:t>Coordinator &amp; Deputy Provost</w:t>
            </w:r>
          </w:p>
        </w:tc>
      </w:tr>
      <w:tr w:rsidR="00EA4A5E" w:rsidRPr="00454C3B" w14:paraId="0B09053E" w14:textId="77777777" w:rsidTr="001222EF">
        <w:trPr>
          <w:trHeight w:val="567"/>
          <w:jc w:val="center"/>
        </w:trPr>
        <w:tc>
          <w:tcPr>
            <w:tcW w:w="7371" w:type="dxa"/>
          </w:tcPr>
          <w:p w14:paraId="775107F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develops new Proposal Brief</w:t>
            </w:r>
          </w:p>
          <w:p w14:paraId="7AAC8691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Notes:</w:t>
            </w:r>
          </w:p>
          <w:p w14:paraId="47B36D13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1.  A completed checklist must accompany all Curriculum Navigator submissions.</w:t>
            </w:r>
          </w:p>
          <w:p w14:paraId="496C4A3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2. Incomplete Proposal Briefs will be returned to the Academic Unit</w:t>
            </w:r>
          </w:p>
        </w:tc>
        <w:tc>
          <w:tcPr>
            <w:tcW w:w="2297" w:type="dxa"/>
          </w:tcPr>
          <w:p w14:paraId="5A690C48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Chair/Director/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br/>
              <w:t>Coordinator</w:t>
            </w:r>
          </w:p>
        </w:tc>
      </w:tr>
      <w:tr w:rsidR="00EA4A5E" w:rsidRPr="00454C3B" w14:paraId="6F6461D9" w14:textId="77777777" w:rsidTr="001222EF">
        <w:trPr>
          <w:trHeight w:val="567"/>
          <w:jc w:val="center"/>
        </w:trPr>
        <w:tc>
          <w:tcPr>
            <w:tcW w:w="7371" w:type="dxa"/>
          </w:tcPr>
          <w:p w14:paraId="741AE241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Program proposal submitted to Curriculum Navigator; Deputy Provost confirms appropriate workflow.</w:t>
            </w:r>
          </w:p>
        </w:tc>
        <w:tc>
          <w:tcPr>
            <w:tcW w:w="2297" w:type="dxa"/>
          </w:tcPr>
          <w:p w14:paraId="4666C36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Initiator, 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br/>
              <w:t>Deputy Provost</w:t>
            </w:r>
          </w:p>
        </w:tc>
      </w:tr>
      <w:tr w:rsidR="00EA4A5E" w:rsidRPr="00454C3B" w14:paraId="6E2CD2FA" w14:textId="77777777" w:rsidTr="001222EF">
        <w:trPr>
          <w:trHeight w:val="567"/>
          <w:jc w:val="center"/>
        </w:trPr>
        <w:tc>
          <w:tcPr>
            <w:tcW w:w="7371" w:type="dxa"/>
          </w:tcPr>
          <w:p w14:paraId="790AAA94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Proposal Brief is reviewed by the Advisory Panel</w:t>
            </w:r>
          </w:p>
        </w:tc>
        <w:tc>
          <w:tcPr>
            <w:tcW w:w="2297" w:type="dxa"/>
          </w:tcPr>
          <w:p w14:paraId="293EED92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Advisory Panel</w:t>
            </w:r>
          </w:p>
        </w:tc>
      </w:tr>
      <w:tr w:rsidR="00EA4A5E" w:rsidRPr="00454C3B" w14:paraId="097A244E" w14:textId="77777777" w:rsidTr="001222EF">
        <w:trPr>
          <w:trHeight w:val="567"/>
          <w:jc w:val="center"/>
        </w:trPr>
        <w:tc>
          <w:tcPr>
            <w:tcW w:w="7371" w:type="dxa"/>
          </w:tcPr>
          <w:p w14:paraId="48A6B1F6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presents new program to Faculty Council for discussion and approval.</w:t>
            </w:r>
          </w:p>
        </w:tc>
        <w:tc>
          <w:tcPr>
            <w:tcW w:w="2297" w:type="dxa"/>
          </w:tcPr>
          <w:p w14:paraId="3E060EF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</w:t>
            </w:r>
          </w:p>
        </w:tc>
      </w:tr>
      <w:tr w:rsidR="00EA4A5E" w:rsidRPr="00454C3B" w14:paraId="0288361B" w14:textId="77777777" w:rsidTr="001222EF">
        <w:trPr>
          <w:trHeight w:val="567"/>
          <w:jc w:val="center"/>
        </w:trPr>
        <w:tc>
          <w:tcPr>
            <w:tcW w:w="7371" w:type="dxa"/>
          </w:tcPr>
          <w:p w14:paraId="2DCF8BB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Dean/Academic Unit consults additional Deans if changes affect programming/resources/etc. in another Faculty; if so, additional Dean(s) and Faculty council(s) approve the request in Curriculum Navigator</w:t>
            </w:r>
          </w:p>
        </w:tc>
        <w:tc>
          <w:tcPr>
            <w:tcW w:w="2297" w:type="dxa"/>
          </w:tcPr>
          <w:p w14:paraId="0E30D5D6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Dean/ Academic Unit, Additional Dean(s)</w:t>
            </w:r>
          </w:p>
        </w:tc>
      </w:tr>
      <w:tr w:rsidR="00EA4A5E" w:rsidRPr="00454C3B" w14:paraId="1C0C3CB0" w14:textId="77777777" w:rsidTr="001222EF">
        <w:trPr>
          <w:trHeight w:val="567"/>
          <w:jc w:val="center"/>
        </w:trPr>
        <w:tc>
          <w:tcPr>
            <w:tcW w:w="7371" w:type="dxa"/>
          </w:tcPr>
          <w:p w14:paraId="3E906899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 refers Proposal Brief to Senate for referral to appropriate Senate committees (i.e. SAC, SAC-QA, SAC-Regulations, SUSC/FGSC and SBC).</w:t>
            </w:r>
          </w:p>
        </w:tc>
        <w:tc>
          <w:tcPr>
            <w:tcW w:w="2297" w:type="dxa"/>
          </w:tcPr>
          <w:p w14:paraId="450997AA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</w:t>
            </w:r>
          </w:p>
        </w:tc>
      </w:tr>
      <w:tr w:rsidR="00EA4A5E" w:rsidRPr="00454C3B" w14:paraId="66F792B5" w14:textId="77777777" w:rsidTr="001222EF">
        <w:trPr>
          <w:trHeight w:val="567"/>
          <w:jc w:val="center"/>
        </w:trPr>
        <w:tc>
          <w:tcPr>
            <w:tcW w:w="7371" w:type="dxa"/>
          </w:tcPr>
          <w:p w14:paraId="1C80DCF1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SAC-QA reviews new program proposal; brings recommendation to approve to SAC</w:t>
            </w:r>
          </w:p>
        </w:tc>
        <w:tc>
          <w:tcPr>
            <w:tcW w:w="2297" w:type="dxa"/>
          </w:tcPr>
          <w:p w14:paraId="16A8DB73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 SAC-QA</w:t>
            </w:r>
          </w:p>
        </w:tc>
      </w:tr>
      <w:tr w:rsidR="00EA4A5E" w:rsidRPr="00454C3B" w14:paraId="539A0239" w14:textId="77777777" w:rsidTr="001222EF">
        <w:trPr>
          <w:trHeight w:val="567"/>
          <w:jc w:val="center"/>
        </w:trPr>
        <w:tc>
          <w:tcPr>
            <w:tcW w:w="7371" w:type="dxa"/>
          </w:tcPr>
          <w:p w14:paraId="42C411FB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SAC considers recommendation of SAC-QA; once approved, report to Senate</w:t>
            </w:r>
          </w:p>
        </w:tc>
        <w:tc>
          <w:tcPr>
            <w:tcW w:w="2297" w:type="dxa"/>
          </w:tcPr>
          <w:p w14:paraId="76F2970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 SAC</w:t>
            </w:r>
          </w:p>
        </w:tc>
      </w:tr>
      <w:tr w:rsidR="00EA4A5E" w:rsidRPr="00454C3B" w14:paraId="63BF80A6" w14:textId="77777777" w:rsidTr="001222EF">
        <w:trPr>
          <w:trHeight w:val="567"/>
          <w:jc w:val="center"/>
        </w:trPr>
        <w:tc>
          <w:tcPr>
            <w:tcW w:w="7371" w:type="dxa"/>
          </w:tcPr>
          <w:p w14:paraId="56543493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SUSC &amp; SAC-Regulations (Under Grad), FGCS-Programs &amp; Regulations (Grad) reviews courses and program regulations; once approved, report to Senate </w:t>
            </w:r>
          </w:p>
        </w:tc>
        <w:tc>
          <w:tcPr>
            <w:tcW w:w="2297" w:type="dxa"/>
          </w:tcPr>
          <w:p w14:paraId="7771CC82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Chairs SAC, SUSC, FGCS</w:t>
            </w:r>
          </w:p>
        </w:tc>
      </w:tr>
      <w:tr w:rsidR="00EA4A5E" w:rsidRPr="00454C3B" w14:paraId="728A4CFF" w14:textId="77777777" w:rsidTr="001222EF">
        <w:trPr>
          <w:trHeight w:val="567"/>
          <w:jc w:val="center"/>
        </w:trPr>
        <w:tc>
          <w:tcPr>
            <w:tcW w:w="7371" w:type="dxa"/>
          </w:tcPr>
          <w:p w14:paraId="44B75006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SBC reviews program proposal in light of student demand, resources and sustainability; once approved, report to Senate</w:t>
            </w:r>
          </w:p>
        </w:tc>
        <w:tc>
          <w:tcPr>
            <w:tcW w:w="2297" w:type="dxa"/>
          </w:tcPr>
          <w:p w14:paraId="4785C95A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Chair SBC</w:t>
            </w:r>
          </w:p>
        </w:tc>
      </w:tr>
      <w:tr w:rsidR="00EA4A5E" w:rsidRPr="00454C3B" w14:paraId="087A45F1" w14:textId="77777777" w:rsidTr="001222EF">
        <w:trPr>
          <w:trHeight w:val="567"/>
          <w:jc w:val="center"/>
        </w:trPr>
        <w:tc>
          <w:tcPr>
            <w:tcW w:w="7371" w:type="dxa"/>
          </w:tcPr>
          <w:p w14:paraId="3EB8C188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Senate program approval</w:t>
            </w:r>
          </w:p>
        </w:tc>
        <w:tc>
          <w:tcPr>
            <w:tcW w:w="2297" w:type="dxa"/>
          </w:tcPr>
          <w:p w14:paraId="50E551A7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Senate</w:t>
            </w:r>
          </w:p>
        </w:tc>
      </w:tr>
    </w:tbl>
    <w:p w14:paraId="4241DF84" w14:textId="77777777" w:rsidR="00E77FD8" w:rsidRPr="00454C3B" w:rsidRDefault="00E77FD8">
      <w:r w:rsidRPr="00454C3B">
        <w:br w:type="page"/>
      </w: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29"/>
      </w:tblGrid>
      <w:tr w:rsidR="00EA4A5E" w:rsidRPr="00454C3B" w14:paraId="3A28AAA9" w14:textId="77777777" w:rsidTr="001222EF">
        <w:trPr>
          <w:trHeight w:val="567"/>
          <w:jc w:val="center"/>
        </w:trPr>
        <w:tc>
          <w:tcPr>
            <w:tcW w:w="7371" w:type="dxa"/>
          </w:tcPr>
          <w:p w14:paraId="55D9F2F6" w14:textId="7D585F03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Phase 2</w:t>
            </w:r>
            <w:r w:rsidR="00E77FD8" w:rsidRPr="00454C3B">
              <w:rPr>
                <w:rFonts w:ascii="Segoe UI" w:hAnsi="Segoe UI" w:cs="Segoe UI"/>
                <w:b/>
                <w:sz w:val="22"/>
                <w:szCs w:val="22"/>
              </w:rPr>
              <w:t xml:space="preserve"> External Visit &amp; Quality Council Review</w:t>
            </w:r>
          </w:p>
        </w:tc>
        <w:tc>
          <w:tcPr>
            <w:tcW w:w="2297" w:type="dxa"/>
            <w:gridSpan w:val="2"/>
          </w:tcPr>
          <w:p w14:paraId="254A9AFD" w14:textId="77777777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454C3B" w14:paraId="3FB46DD6" w14:textId="77777777" w:rsidTr="001222EF">
        <w:trPr>
          <w:trHeight w:val="567"/>
          <w:jc w:val="center"/>
        </w:trPr>
        <w:tc>
          <w:tcPr>
            <w:tcW w:w="7371" w:type="dxa"/>
          </w:tcPr>
          <w:p w14:paraId="4527EB90" w14:textId="53C0E791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Once approved by Senate, the Office of the Provost arranges the External Review </w:t>
            </w:r>
          </w:p>
          <w:p w14:paraId="2784C8C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14:paraId="2C186A58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Office of the Provost, Academic Unit, Faculty Dean</w:t>
            </w:r>
          </w:p>
        </w:tc>
      </w:tr>
      <w:tr w:rsidR="00EA4A5E" w:rsidRPr="00454C3B" w14:paraId="6A4D5D89" w14:textId="77777777" w:rsidTr="001222EF">
        <w:trPr>
          <w:trHeight w:val="567"/>
          <w:jc w:val="center"/>
        </w:trPr>
        <w:tc>
          <w:tcPr>
            <w:tcW w:w="7371" w:type="dxa"/>
          </w:tcPr>
          <w:p w14:paraId="07E6899B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Review Team Report submitted to Deputy Provost, is reviewed for completion and forwarded to Academic Unit and Faculty Dean </w:t>
            </w:r>
          </w:p>
        </w:tc>
        <w:tc>
          <w:tcPr>
            <w:tcW w:w="2297" w:type="dxa"/>
            <w:gridSpan w:val="2"/>
          </w:tcPr>
          <w:p w14:paraId="3239B123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Deputy Provost</w:t>
            </w:r>
          </w:p>
        </w:tc>
      </w:tr>
      <w:tr w:rsidR="00EA4A5E" w:rsidRPr="00454C3B" w14:paraId="68FF0295" w14:textId="77777777" w:rsidTr="001222EF">
        <w:trPr>
          <w:trHeight w:val="567"/>
          <w:jc w:val="center"/>
        </w:trPr>
        <w:tc>
          <w:tcPr>
            <w:tcW w:w="7371" w:type="dxa"/>
          </w:tcPr>
          <w:p w14:paraId="350A3819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and Faculty Dean(s) develop separate responses;  consultation with the Deputy Provost is encouraged.</w:t>
            </w:r>
          </w:p>
          <w:p w14:paraId="6416DD10" w14:textId="77777777" w:rsidR="00EA4A5E" w:rsidRPr="00454C3B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prepares Internal Response along with any required revisions to the Proposal Brief</w:t>
            </w:r>
          </w:p>
          <w:p w14:paraId="5C2BA1AD" w14:textId="77777777" w:rsidR="00EA4A5E" w:rsidRPr="00454C3B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Submits Internal Response, revised Proposal Brief and Summary of Key Changes to the Deputy Provost</w:t>
            </w:r>
          </w:p>
          <w:p w14:paraId="10E65526" w14:textId="77777777" w:rsidR="00EA4A5E" w:rsidRPr="00454C3B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Dean(s) prepare Internal Response(s) and submit Response to the Deputy Provost</w:t>
            </w:r>
          </w:p>
        </w:tc>
        <w:tc>
          <w:tcPr>
            <w:tcW w:w="2297" w:type="dxa"/>
            <w:gridSpan w:val="2"/>
          </w:tcPr>
          <w:p w14:paraId="6F5D4A79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Unit, Faculty Dean,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br/>
              <w:t>Deputy Provost</w:t>
            </w:r>
          </w:p>
        </w:tc>
      </w:tr>
      <w:tr w:rsidR="00EA4A5E" w:rsidRPr="00454C3B" w14:paraId="0F7D97ED" w14:textId="77777777" w:rsidTr="001222EF">
        <w:trPr>
          <w:trHeight w:val="567"/>
          <w:jc w:val="center"/>
        </w:trPr>
        <w:tc>
          <w:tcPr>
            <w:tcW w:w="7371" w:type="dxa"/>
          </w:tcPr>
          <w:p w14:paraId="1A130D6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Documentation forwarded to the Quality Council Appraisal Committee* (QC Checklist, Final Proposal Brief, Review Team Report, Responses – Academic Unit and Dean, Summary of Key Changes, Letters of support). </w:t>
            </w:r>
          </w:p>
        </w:tc>
        <w:tc>
          <w:tcPr>
            <w:tcW w:w="2297" w:type="dxa"/>
            <w:gridSpan w:val="2"/>
          </w:tcPr>
          <w:p w14:paraId="67F7261A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Office of the Provost, Academic Unit, Faculty Dean</w:t>
            </w:r>
          </w:p>
        </w:tc>
      </w:tr>
      <w:tr w:rsidR="00EA4A5E" w:rsidRPr="00454C3B" w14:paraId="6D8182D1" w14:textId="77777777" w:rsidTr="001222EF">
        <w:trPr>
          <w:jc w:val="center"/>
        </w:trPr>
        <w:tc>
          <w:tcPr>
            <w:tcW w:w="7371" w:type="dxa"/>
          </w:tcPr>
          <w:p w14:paraId="603A28D3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QC Appraisal Committee reviews and issues recommendations</w:t>
            </w:r>
          </w:p>
        </w:tc>
        <w:tc>
          <w:tcPr>
            <w:tcW w:w="2297" w:type="dxa"/>
            <w:gridSpan w:val="2"/>
          </w:tcPr>
          <w:p w14:paraId="323D1CAA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QC Appraisal Committee</w:t>
            </w:r>
          </w:p>
        </w:tc>
      </w:tr>
      <w:tr w:rsidR="00EA4A5E" w:rsidRPr="00454C3B" w14:paraId="444EA05E" w14:textId="77777777" w:rsidTr="001222EF">
        <w:trPr>
          <w:jc w:val="center"/>
        </w:trPr>
        <w:tc>
          <w:tcPr>
            <w:tcW w:w="7371" w:type="dxa"/>
          </w:tcPr>
          <w:p w14:paraId="1C847CB2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Final decision of the Quality Council is conveyed to the Institution by the Quality Council’s Secretariat within 45 days of receipt of final and complete submission. </w:t>
            </w:r>
          </w:p>
          <w:p w14:paraId="21B07A61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Note: University can appeal an unsatisfactory recommendation by the Appraisal Committee to the Quality Council. </w:t>
            </w:r>
          </w:p>
        </w:tc>
        <w:tc>
          <w:tcPr>
            <w:tcW w:w="2297" w:type="dxa"/>
            <w:gridSpan w:val="2"/>
          </w:tcPr>
          <w:p w14:paraId="0A539A2F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Quality Council</w:t>
            </w:r>
          </w:p>
        </w:tc>
      </w:tr>
      <w:tr w:rsidR="00EA4A5E" w:rsidRPr="00454C3B" w14:paraId="7D782A8E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176AFED5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Approval by Senate - Memo provided to Senate, noting changes resulting from External Review and QC decision; ensure approved version of the Proposal Brief is uploaded to Curriculum Navigator.</w:t>
            </w:r>
          </w:p>
        </w:tc>
        <w:tc>
          <w:tcPr>
            <w:tcW w:w="2268" w:type="dxa"/>
          </w:tcPr>
          <w:p w14:paraId="7EBEEC32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Office of the Provost, Senate</w:t>
            </w:r>
          </w:p>
        </w:tc>
      </w:tr>
      <w:tr w:rsidR="00EA4A5E" w:rsidRPr="00454C3B" w14:paraId="02B69487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0605751D" w14:textId="7BAED618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b/>
                <w:sz w:val="22"/>
                <w:szCs w:val="22"/>
              </w:rPr>
              <w:t>Phase 3</w:t>
            </w:r>
            <w:r w:rsidR="00E77FD8" w:rsidRPr="00454C3B">
              <w:rPr>
                <w:rFonts w:ascii="Segoe UI" w:hAnsi="Segoe UI" w:cs="Segoe UI"/>
                <w:b/>
                <w:sz w:val="22"/>
                <w:szCs w:val="22"/>
              </w:rPr>
              <w:t xml:space="preserve"> Ministry Submission</w:t>
            </w:r>
          </w:p>
        </w:tc>
        <w:tc>
          <w:tcPr>
            <w:tcW w:w="2268" w:type="dxa"/>
          </w:tcPr>
          <w:p w14:paraId="1A6A7FD3" w14:textId="77777777" w:rsidR="00EA4A5E" w:rsidRPr="00454C3B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454C3B" w14:paraId="6B59A934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316CAE79" w14:textId="3240E85C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Program proposal submitted to MCU for their approval process. Separate application required. </w:t>
            </w:r>
          </w:p>
        </w:tc>
        <w:tc>
          <w:tcPr>
            <w:tcW w:w="2268" w:type="dxa"/>
          </w:tcPr>
          <w:p w14:paraId="316E30FA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Deputy Provost, VP IPA, Academic Unit, Faculty Dean</w:t>
            </w:r>
          </w:p>
        </w:tc>
      </w:tr>
      <w:tr w:rsidR="00EA4A5E" w:rsidRPr="00454C3B" w14:paraId="765DAF10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69BD2D8B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 ensures calendar submission is consistent with QC approved program.</w:t>
            </w:r>
          </w:p>
          <w:p w14:paraId="19891ED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bCs/>
                <w:sz w:val="22"/>
                <w:szCs w:val="22"/>
              </w:rPr>
              <w:t>Note: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54C3B">
              <w:rPr>
                <w:rFonts w:ascii="Segoe UI" w:hAnsi="Segoe UI" w:cs="Segoe UI"/>
                <w:bCs/>
                <w:sz w:val="22"/>
                <w:szCs w:val="22"/>
              </w:rPr>
              <w:t>Program changes are not permitted between Quality Council approval and commencement of a program</w:t>
            </w:r>
            <w:r w:rsidRPr="00454C3B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C71D74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Academic Unit</w:t>
            </w:r>
          </w:p>
        </w:tc>
      </w:tr>
      <w:tr w:rsidR="00EA4A5E" w:rsidRPr="00454C3B" w14:paraId="4282B7FD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0311EFF4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Dean(s) and Council(s) review calendar submission (additional Deans/Councils necessary if changes affect programming/resources/etc.)</w:t>
            </w:r>
          </w:p>
        </w:tc>
        <w:tc>
          <w:tcPr>
            <w:tcW w:w="2268" w:type="dxa"/>
          </w:tcPr>
          <w:p w14:paraId="622F0FEC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Faculty Dean(s) and Council(s)</w:t>
            </w:r>
          </w:p>
        </w:tc>
      </w:tr>
      <w:tr w:rsidR="00EA4A5E" w:rsidRPr="00002B2E" w14:paraId="3FF37933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2BD93AEE" w14:textId="77777777" w:rsidR="00EA4A5E" w:rsidRPr="00454C3B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 xml:space="preserve">Ongoing monitoring and first cyclical review (undergraduate and graduate). An interim monitoring report will be provided by the submitting academic unit, between the program’s launch and its first cyclical review. </w:t>
            </w:r>
          </w:p>
        </w:tc>
        <w:tc>
          <w:tcPr>
            <w:tcW w:w="2268" w:type="dxa"/>
          </w:tcPr>
          <w:p w14:paraId="47B68404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454C3B">
              <w:rPr>
                <w:rFonts w:ascii="Segoe UI" w:hAnsi="Segoe UI" w:cs="Segoe UI"/>
                <w:sz w:val="22"/>
                <w:szCs w:val="22"/>
              </w:rPr>
              <w:t>Provost Office and Academic Unit/Dean</w:t>
            </w:r>
          </w:p>
        </w:tc>
      </w:tr>
    </w:tbl>
    <w:p w14:paraId="37DE4E2B" w14:textId="77777777" w:rsidR="008A077D" w:rsidRDefault="008A077D"/>
    <w:sectPr w:rsidR="008A0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9F7"/>
    <w:multiLevelType w:val="hybridMultilevel"/>
    <w:tmpl w:val="E5A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6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5E"/>
    <w:rsid w:val="000A4270"/>
    <w:rsid w:val="002D2DAE"/>
    <w:rsid w:val="00454C3B"/>
    <w:rsid w:val="00853D74"/>
    <w:rsid w:val="008A077D"/>
    <w:rsid w:val="00A27B8C"/>
    <w:rsid w:val="00C0093A"/>
    <w:rsid w:val="00E77FD8"/>
    <w:rsid w:val="00EA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0D1C"/>
  <w15:chartTrackingRefBased/>
  <w15:docId w15:val="{F28184C1-2290-4C8E-AF19-FDACA1D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5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A5E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Academic Assistant</dc:creator>
  <cp:keywords/>
  <dc:description/>
  <cp:lastModifiedBy>Rhonda Koster</cp:lastModifiedBy>
  <cp:revision>3</cp:revision>
  <dcterms:created xsi:type="dcterms:W3CDTF">2025-10-28T17:59:00Z</dcterms:created>
  <dcterms:modified xsi:type="dcterms:W3CDTF">2025-10-28T19:16:00Z</dcterms:modified>
</cp:coreProperties>
</file>