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6" w:lineRule="auto"/>
        <w:rPr/>
      </w:pP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120" w:before="0" w:line="276" w:lineRule="auto"/>
        <w:rPr/>
      </w:pPr>
      <w:r w:rsidDel="00000000" w:rsidR="00000000" w:rsidRPr="00000000">
        <w:rPr>
          <w:rtl w:val="0"/>
        </w:rPr>
        <w:t xml:space="preserve">Final Assessment Report and Implementation Plan</w:t>
      </w:r>
    </w:p>
    <w:p w:rsidR="00000000" w:rsidDel="00000000" w:rsidP="00000000" w:rsidRDefault="00000000" w:rsidRPr="00000000" w14:paraId="0000000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spacing w:before="0" w:line="276" w:lineRule="auto"/>
        <w:rPr>
          <w:b w:val="1"/>
          <w:bCs w:val="1"/>
        </w:rPr>
      </w:pPr>
      <w:r w:rsidDel="00000000" w:rsidR="00000000" w:rsidRPr="00000000">
        <w:rPr>
          <w:b w:val="1"/>
          <w:bCs w:val="1"/>
          <w:rtl w:val="0"/>
        </w:rPr>
        <w:t xml:space="preserve">Department of Civil Engineering </w:t>
      </w:r>
    </w:p>
    <w:p w:rsidR="00000000" w:rsidDel="00000000" w:rsidP="00000000" w:rsidRDefault="00000000" w:rsidRPr="00000000" w14:paraId="00000007">
      <w:pPr>
        <w:spacing w:after="120" w:line="276" w:lineRule="auto"/>
        <w:rPr>
          <w:rFonts w:ascii="Arial" w:cs="Arial" w:eastAsia="Arial" w:hAnsi="Arial"/>
        </w:rPr>
      </w:pPr>
      <w:r w:rsidDel="00000000" w:rsidR="00000000" w:rsidRPr="00000000">
        <w:rPr>
          <w:rFonts w:ascii="Arial" w:cs="Arial" w:eastAsia="Arial" w:hAnsi="Arial"/>
          <w:rtl w:val="0"/>
        </w:rPr>
        <w:tab/>
        <w:t xml:space="preserve">MSc Civil Engineering</w:t>
      </w:r>
    </w:p>
    <w:p w:rsidR="00000000" w:rsidDel="00000000" w:rsidP="00000000" w:rsidRDefault="00000000" w:rsidRPr="00000000" w14:paraId="00000008">
      <w:pPr>
        <w:spacing w:after="12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spacing w:after="12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Faculty of Engineering</w:t>
      </w:r>
    </w:p>
    <w:p w:rsidR="00000000" w:rsidDel="00000000" w:rsidP="00000000" w:rsidRDefault="00000000" w:rsidRPr="00000000" w14:paraId="0000000A">
      <w:pPr>
        <w:pStyle w:val="Heading4"/>
        <w:spacing w:before="0" w:line="276" w:lineRule="auto"/>
        <w:rPr/>
      </w:pPr>
      <w:r w:rsidDel="00000000" w:rsidR="00000000" w:rsidRPr="00000000">
        <w:rPr>
          <w:rtl w:val="0"/>
        </w:rPr>
        <w:t xml:space="preserve">October 2025</w:t>
      </w:r>
    </w:p>
    <w:p w:rsidR="00000000" w:rsidDel="00000000" w:rsidP="00000000" w:rsidRDefault="00000000" w:rsidRPr="00000000" w14:paraId="0000000B">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120" w:line="276" w:lineRule="auto"/>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Final Assessment Report and Implementation Plan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Department of Civil Engineering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Engineering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spacing w:after="120" w:line="276" w:lineRule="auto"/>
        <w:rPr/>
      </w:pPr>
      <w:r w:rsidDel="00000000" w:rsidR="00000000" w:rsidRPr="00000000">
        <w:rPr>
          <w:rtl w:val="0"/>
        </w:rPr>
        <w:t xml:space="preserve">Programs Reviewed</w:t>
      </w:r>
    </w:p>
    <w:p w:rsidR="00000000" w:rsidDel="00000000" w:rsidP="00000000" w:rsidRDefault="00000000" w:rsidRPr="00000000" w14:paraId="00000014">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MSc Civil Engineering</w:t>
      </w:r>
    </w:p>
    <w:p w:rsidR="00000000" w:rsidDel="00000000" w:rsidP="00000000" w:rsidRDefault="00000000" w:rsidRPr="00000000" w14:paraId="00000015">
      <w:pPr>
        <w:spacing w:after="120" w:line="276" w:lineRule="auto"/>
        <w:rPr>
          <w:rFonts w:ascii="Arial" w:cs="Arial" w:eastAsia="Arial" w:hAnsi="Arial"/>
          <w:color w:val="292526"/>
        </w:rPr>
      </w:pPr>
      <w:r w:rsidDel="00000000" w:rsidR="00000000" w:rsidRPr="00000000">
        <w:rPr>
          <w:rtl w:val="0"/>
        </w:rPr>
      </w:r>
    </w:p>
    <w:p w:rsidR="00000000" w:rsidDel="00000000" w:rsidP="00000000" w:rsidRDefault="00000000" w:rsidRPr="00000000" w14:paraId="00000016">
      <w:pPr>
        <w:pStyle w:val="Heading3"/>
        <w:spacing w:after="120" w:line="276" w:lineRule="auto"/>
        <w:rPr/>
      </w:pPr>
      <w:r w:rsidDel="00000000" w:rsidR="00000000" w:rsidRPr="00000000">
        <w:rPr>
          <w:rtl w:val="0"/>
        </w:rPr>
        <w:t xml:space="preserve">Review Team</w:t>
      </w:r>
    </w:p>
    <w:p w:rsidR="00000000" w:rsidDel="00000000" w:rsidP="00000000" w:rsidRDefault="00000000" w:rsidRPr="00000000" w14:paraId="00000017">
      <w:pPr>
        <w:rPr>
          <w:rFonts w:ascii="Arial" w:cs="Arial" w:eastAsia="Arial" w:hAnsi="Arial"/>
          <w:color w:val="292526"/>
        </w:rPr>
      </w:pPr>
      <w:r w:rsidDel="00000000" w:rsidR="00000000" w:rsidRPr="00000000">
        <w:rPr>
          <w:rFonts w:ascii="Arial" w:cs="Arial" w:eastAsia="Arial" w:hAnsi="Arial"/>
          <w:color w:val="292526"/>
          <w:rtl w:val="0"/>
        </w:rPr>
        <w:t xml:space="preserve">Dr. Songnian Li</w:t>
      </w:r>
    </w:p>
    <w:p w:rsidR="00000000" w:rsidDel="00000000" w:rsidP="00000000" w:rsidRDefault="00000000" w:rsidRPr="00000000" w14:paraId="00000018">
      <w:pPr>
        <w:rPr>
          <w:rFonts w:ascii="Arial" w:cs="Arial" w:eastAsia="Arial" w:hAnsi="Arial"/>
          <w:color w:val="292526"/>
        </w:rPr>
      </w:pPr>
      <w:r w:rsidDel="00000000" w:rsidR="00000000" w:rsidRPr="00000000">
        <w:rPr>
          <w:rFonts w:ascii="Arial" w:cs="Arial" w:eastAsia="Arial" w:hAnsi="Arial"/>
          <w:color w:val="292526"/>
          <w:rtl w:val="0"/>
        </w:rPr>
        <w:t xml:space="preserve">Toronto Metripolitan University</w:t>
      </w:r>
    </w:p>
    <w:p w:rsidR="00000000" w:rsidDel="00000000" w:rsidP="00000000" w:rsidRDefault="00000000" w:rsidRPr="00000000" w14:paraId="00000019">
      <w:pPr>
        <w:rPr>
          <w:rFonts w:ascii="Arial" w:cs="Arial" w:eastAsia="Arial" w:hAnsi="Arial"/>
          <w:color w:val="292526"/>
        </w:rPr>
      </w:pPr>
      <w:r w:rsidDel="00000000" w:rsidR="00000000" w:rsidRPr="00000000">
        <w:rPr>
          <w:rFonts w:ascii="Arial" w:cs="Arial" w:eastAsia="Arial" w:hAnsi="Arial"/>
          <w:color w:val="292526"/>
          <w:rtl w:val="0"/>
        </w:rPr>
        <w:t xml:space="preserve">Department of Civil Engineering</w:t>
      </w:r>
    </w:p>
    <w:p w:rsidR="00000000" w:rsidDel="00000000" w:rsidP="00000000" w:rsidRDefault="00000000" w:rsidRPr="00000000" w14:paraId="0000001A">
      <w:pPr>
        <w:rPr>
          <w:rFonts w:ascii="Arial" w:cs="Arial" w:eastAsia="Arial" w:hAnsi="Arial"/>
          <w:color w:val="292526"/>
        </w:rPr>
      </w:pPr>
      <w:r w:rsidDel="00000000" w:rsidR="00000000" w:rsidRPr="00000000">
        <w:rPr>
          <w:rFonts w:ascii="Arial" w:cs="Arial" w:eastAsia="Arial" w:hAnsi="Arial"/>
          <w:color w:val="292526"/>
          <w:rtl w:val="0"/>
        </w:rPr>
        <w:t xml:space="preserve">350 Victoria Street</w:t>
      </w:r>
    </w:p>
    <w:p w:rsidR="00000000" w:rsidDel="00000000" w:rsidP="00000000" w:rsidRDefault="00000000" w:rsidRPr="00000000" w14:paraId="0000001B">
      <w:pPr>
        <w:rPr>
          <w:rFonts w:ascii="Arial" w:cs="Arial" w:eastAsia="Arial" w:hAnsi="Arial"/>
          <w:color w:val="292526"/>
        </w:rPr>
      </w:pPr>
      <w:r w:rsidDel="00000000" w:rsidR="00000000" w:rsidRPr="00000000">
        <w:rPr>
          <w:rFonts w:ascii="Arial" w:cs="Arial" w:eastAsia="Arial" w:hAnsi="Arial"/>
          <w:color w:val="292526"/>
          <w:rtl w:val="0"/>
        </w:rPr>
        <w:t xml:space="preserve">Toronto, ON M5B 2K3</w:t>
      </w:r>
    </w:p>
    <w:p w:rsidR="00000000" w:rsidDel="00000000" w:rsidP="00000000" w:rsidRDefault="00000000" w:rsidRPr="00000000" w14:paraId="0000001C">
      <w:pPr>
        <w:rPr>
          <w:rFonts w:ascii="Arial" w:cs="Arial" w:eastAsia="Arial" w:hAnsi="Arial"/>
          <w:color w:val="292526"/>
        </w:rPr>
      </w:pPr>
      <w:r w:rsidDel="00000000" w:rsidR="00000000" w:rsidRPr="00000000">
        <w:rPr>
          <w:rtl w:val="0"/>
        </w:rPr>
      </w:r>
    </w:p>
    <w:p w:rsidR="00000000" w:rsidDel="00000000" w:rsidP="00000000" w:rsidRDefault="00000000" w:rsidRPr="00000000" w14:paraId="0000001D">
      <w:pPr>
        <w:rPr>
          <w:rFonts w:ascii="Arial" w:cs="Arial" w:eastAsia="Arial" w:hAnsi="Arial"/>
          <w:color w:val="292526"/>
        </w:rPr>
      </w:pPr>
      <w:r w:rsidDel="00000000" w:rsidR="00000000" w:rsidRPr="00000000">
        <w:rPr>
          <w:rFonts w:ascii="Arial" w:cs="Arial" w:eastAsia="Arial" w:hAnsi="Arial"/>
          <w:color w:val="292526"/>
          <w:rtl w:val="0"/>
        </w:rPr>
        <w:t xml:space="preserve">Dr. Hany El Nagger</w:t>
      </w:r>
    </w:p>
    <w:p w:rsidR="00000000" w:rsidDel="00000000" w:rsidP="00000000" w:rsidRDefault="00000000" w:rsidRPr="00000000" w14:paraId="0000001E">
      <w:pPr>
        <w:rPr>
          <w:rFonts w:ascii="Arial" w:cs="Arial" w:eastAsia="Arial" w:hAnsi="Arial"/>
          <w:color w:val="292526"/>
        </w:rPr>
      </w:pPr>
      <w:r w:rsidDel="00000000" w:rsidR="00000000" w:rsidRPr="00000000">
        <w:rPr>
          <w:rFonts w:ascii="Arial" w:cs="Arial" w:eastAsia="Arial" w:hAnsi="Arial"/>
          <w:color w:val="292526"/>
          <w:rtl w:val="0"/>
        </w:rPr>
        <w:t xml:space="preserve">Dalhousie University</w:t>
      </w:r>
    </w:p>
    <w:p w:rsidR="00000000" w:rsidDel="00000000" w:rsidP="00000000" w:rsidRDefault="00000000" w:rsidRPr="00000000" w14:paraId="0000001F">
      <w:pPr>
        <w:rPr>
          <w:rFonts w:ascii="Arial" w:cs="Arial" w:eastAsia="Arial" w:hAnsi="Arial"/>
          <w:color w:val="292526"/>
        </w:rPr>
      </w:pPr>
      <w:r w:rsidDel="00000000" w:rsidR="00000000" w:rsidRPr="00000000">
        <w:rPr>
          <w:rFonts w:ascii="Arial" w:cs="Arial" w:eastAsia="Arial" w:hAnsi="Arial"/>
          <w:color w:val="292526"/>
          <w:rtl w:val="0"/>
        </w:rPr>
        <w:t xml:space="preserve">Department of Civil and Resource Engineering</w:t>
      </w:r>
    </w:p>
    <w:p w:rsidR="00000000" w:rsidDel="00000000" w:rsidP="00000000" w:rsidRDefault="00000000" w:rsidRPr="00000000" w14:paraId="00000020">
      <w:pPr>
        <w:rPr>
          <w:rFonts w:ascii="Arial" w:cs="Arial" w:eastAsia="Arial" w:hAnsi="Arial"/>
          <w:color w:val="292526"/>
        </w:rPr>
      </w:pPr>
      <w:r w:rsidDel="00000000" w:rsidR="00000000" w:rsidRPr="00000000">
        <w:rPr>
          <w:rFonts w:ascii="Arial" w:cs="Arial" w:eastAsia="Arial" w:hAnsi="Arial"/>
          <w:color w:val="292526"/>
          <w:rtl w:val="0"/>
        </w:rPr>
        <w:t xml:space="preserve">6283 Alumni Crescent</w:t>
      </w:r>
    </w:p>
    <w:p w:rsidR="00000000" w:rsidDel="00000000" w:rsidP="00000000" w:rsidRDefault="00000000" w:rsidRPr="00000000" w14:paraId="00000021">
      <w:pPr>
        <w:rPr>
          <w:rFonts w:ascii="Arial" w:cs="Arial" w:eastAsia="Arial" w:hAnsi="Arial"/>
          <w:color w:val="292526"/>
        </w:rPr>
      </w:pPr>
      <w:r w:rsidDel="00000000" w:rsidR="00000000" w:rsidRPr="00000000">
        <w:rPr>
          <w:rFonts w:ascii="Arial" w:cs="Arial" w:eastAsia="Arial" w:hAnsi="Arial"/>
          <w:color w:val="292526"/>
          <w:rtl w:val="0"/>
        </w:rPr>
        <w:t xml:space="preserve">Halifax, NS B3H 4R2</w:t>
      </w:r>
    </w:p>
    <w:p w:rsidR="00000000" w:rsidDel="00000000" w:rsidP="00000000" w:rsidRDefault="00000000" w:rsidRPr="00000000" w14:paraId="00000022">
      <w:pPr>
        <w:rPr>
          <w:rFonts w:ascii="Arial" w:cs="Arial" w:eastAsia="Arial" w:hAnsi="Arial"/>
          <w:color w:val="292526"/>
        </w:rPr>
      </w:pPr>
      <w:r w:rsidDel="00000000" w:rsidR="00000000" w:rsidRPr="00000000">
        <w:rPr>
          <w:rtl w:val="0"/>
        </w:rPr>
      </w:r>
    </w:p>
    <w:p w:rsidR="00000000" w:rsidDel="00000000" w:rsidP="00000000" w:rsidRDefault="00000000" w:rsidRPr="00000000" w14:paraId="00000023">
      <w:pPr>
        <w:rPr>
          <w:rFonts w:ascii="Arial" w:cs="Arial" w:eastAsia="Arial" w:hAnsi="Arial"/>
          <w:color w:val="292526"/>
        </w:rPr>
      </w:pPr>
      <w:r w:rsidDel="00000000" w:rsidR="00000000" w:rsidRPr="00000000">
        <w:rPr>
          <w:rFonts w:ascii="Arial" w:cs="Arial" w:eastAsia="Arial" w:hAnsi="Arial"/>
          <w:color w:val="292526"/>
          <w:rtl w:val="0"/>
        </w:rPr>
        <w:t xml:space="preserve">Dr. Jinan Fiaidhi</w:t>
      </w:r>
    </w:p>
    <w:p w:rsidR="00000000" w:rsidDel="00000000" w:rsidP="00000000" w:rsidRDefault="00000000" w:rsidRPr="00000000" w14:paraId="00000024">
      <w:pPr>
        <w:rPr>
          <w:rFonts w:ascii="Arial" w:cs="Arial" w:eastAsia="Arial" w:hAnsi="Arial"/>
          <w:color w:val="292526"/>
        </w:rPr>
      </w:pPr>
      <w:r w:rsidDel="00000000" w:rsidR="00000000" w:rsidRPr="00000000">
        <w:rPr>
          <w:rFonts w:ascii="Arial" w:cs="Arial" w:eastAsia="Arial" w:hAnsi="Arial"/>
          <w:color w:val="292526"/>
          <w:rtl w:val="0"/>
        </w:rPr>
        <w:t xml:space="preserve">Lakehead University</w:t>
      </w:r>
    </w:p>
    <w:p w:rsidR="00000000" w:rsidDel="00000000" w:rsidP="00000000" w:rsidRDefault="00000000" w:rsidRPr="00000000" w14:paraId="00000025">
      <w:pPr>
        <w:rPr>
          <w:rFonts w:ascii="Arial" w:cs="Arial" w:eastAsia="Arial" w:hAnsi="Arial"/>
          <w:color w:val="292526"/>
        </w:rPr>
      </w:pPr>
      <w:r w:rsidDel="00000000" w:rsidR="00000000" w:rsidRPr="00000000">
        <w:rPr>
          <w:rFonts w:ascii="Arial" w:cs="Arial" w:eastAsia="Arial" w:hAnsi="Arial"/>
          <w:color w:val="292526"/>
          <w:rtl w:val="0"/>
        </w:rPr>
        <w:t xml:space="preserve">Department of Computer Science</w:t>
      </w:r>
    </w:p>
    <w:p w:rsidR="00000000" w:rsidDel="00000000" w:rsidP="00000000" w:rsidRDefault="00000000" w:rsidRPr="00000000" w14:paraId="00000026">
      <w:pPr>
        <w:rPr>
          <w:rFonts w:ascii="Arial" w:cs="Arial" w:eastAsia="Arial" w:hAnsi="Arial"/>
          <w:color w:val="292526"/>
        </w:rPr>
      </w:pPr>
      <w:r w:rsidDel="00000000" w:rsidR="00000000" w:rsidRPr="00000000">
        <w:rPr>
          <w:rFonts w:ascii="Arial" w:cs="Arial" w:eastAsia="Arial" w:hAnsi="Arial"/>
          <w:color w:val="292526"/>
          <w:rtl w:val="0"/>
        </w:rPr>
        <w:t xml:space="preserve">955 Oliver Road</w:t>
      </w:r>
    </w:p>
    <w:p w:rsidR="00000000" w:rsidDel="00000000" w:rsidP="00000000" w:rsidRDefault="00000000" w:rsidRPr="00000000" w14:paraId="00000027">
      <w:pPr>
        <w:rPr>
          <w:rFonts w:ascii="Arial" w:cs="Arial" w:eastAsia="Arial" w:hAnsi="Arial"/>
          <w:b w:val="1"/>
          <w:bCs w:val="1"/>
          <w:color w:val="548dd4"/>
        </w:rPr>
      </w:pPr>
      <w:r w:rsidDel="00000000" w:rsidR="00000000" w:rsidRPr="00000000">
        <w:rPr>
          <w:rFonts w:ascii="Arial" w:cs="Arial" w:eastAsia="Arial" w:hAnsi="Arial"/>
          <w:color w:val="292526"/>
          <w:rtl w:val="0"/>
        </w:rPr>
        <w:t xml:space="preserve">Thunder Bay, ON P7B 5E1</w:t>
      </w:r>
      <w:r w:rsidDel="00000000" w:rsidR="00000000" w:rsidRPr="00000000">
        <w:br w:type="page"/>
      </w:r>
      <w:r w:rsidDel="00000000" w:rsidR="00000000" w:rsidRPr="00000000">
        <w:rPr>
          <w:rtl w:val="0"/>
        </w:rPr>
      </w:r>
    </w:p>
    <w:p w:rsidR="00000000" w:rsidDel="00000000" w:rsidP="00000000" w:rsidRDefault="00000000" w:rsidRPr="00000000" w14:paraId="00000028">
      <w:pPr>
        <w:pStyle w:val="Heading2"/>
        <w:spacing w:after="120" w:before="0" w:line="276" w:lineRule="auto"/>
        <w:rPr/>
      </w:pPr>
      <w:r w:rsidDel="00000000" w:rsidR="00000000" w:rsidRPr="00000000">
        <w:rPr>
          <w:rtl w:val="0"/>
        </w:rPr>
        <w:t xml:space="preserve">Background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Master of Science program offered by the Department of Civil Engineering in the Faculty of Engineering. This report identifies the significant strengths of the program, the opportunities for program improvement and enhancement, and sets out and prioritizes the recommendations that have been selected for implementation.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pdxw48nen7cj" w:id="0"/>
      <w:bookmarkEnd w:id="0"/>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report includes an Implementation Plan that identifies and prioritizes those recommendations that are selected for implementation. The Implementation Plan identifies:</w:t>
      </w:r>
    </w:p>
    <w:p w:rsidR="00000000" w:rsidDel="00000000" w:rsidP="00000000" w:rsidRDefault="00000000" w:rsidRPr="00000000" w14:paraId="0000002B">
      <w:pPr>
        <w:pStyle w:val="Heading2"/>
        <w:numPr>
          <w:ilvl w:val="0"/>
          <w:numId w:val="1"/>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the group or individual responsible for providing resources needed to address recommendations from the external reviewers or action items identified by the university;</w:t>
      </w:r>
    </w:p>
    <w:p w:rsidR="00000000" w:rsidDel="00000000" w:rsidP="00000000" w:rsidRDefault="00000000" w:rsidRPr="00000000" w14:paraId="0000002C">
      <w:pPr>
        <w:pStyle w:val="Heading2"/>
        <w:numPr>
          <w:ilvl w:val="0"/>
          <w:numId w:val="1"/>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who will be responsible for acting on those recommendations; and</w:t>
      </w:r>
    </w:p>
    <w:p w:rsidR="00000000" w:rsidDel="00000000" w:rsidP="00000000" w:rsidRDefault="00000000" w:rsidRPr="00000000" w14:paraId="0000002D">
      <w:pPr>
        <w:pStyle w:val="Heading2"/>
        <w:numPr>
          <w:ilvl w:val="0"/>
          <w:numId w:val="1"/>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specific timelines for acting on and monitoring the implementation of those recommendations.</w:t>
      </w:r>
    </w:p>
    <w:p w:rsidR="00000000" w:rsidDel="00000000" w:rsidP="00000000" w:rsidRDefault="00000000" w:rsidRPr="00000000" w14:paraId="0000002E">
      <w:pPr>
        <w:pStyle w:val="Heading2"/>
        <w:spacing w:after="120" w:before="0" w:line="276" w:lineRule="auto"/>
        <w:rPr/>
      </w:pPr>
      <w:r w:rsidDel="00000000" w:rsidR="00000000" w:rsidRPr="00000000">
        <w:rPr>
          <w:rtl w:val="0"/>
        </w:rPr>
        <w:t xml:space="preserve">Review Summary</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of Civil Engineering, a unit in the Faculty of Engineering, submitted a Self-Study in April 2023. Volume I presented the program descriptions and outcomes, an analytical assessment of the program, and program information along with institutional information and statistical data. Volume II provided course syllabi. Volume III provided the CVs for core faculty contributing to the delivery of the program.</w:t>
      </w:r>
    </w:p>
    <w:p w:rsidR="00000000" w:rsidDel="00000000" w:rsidP="00000000" w:rsidRDefault="00000000" w:rsidRPr="00000000" w14:paraId="00000030">
      <w:pPr>
        <w:spacing w:after="120" w:line="276" w:lineRule="auto"/>
        <w:rPr>
          <w:rFonts w:ascii="Arial" w:cs="Arial" w:eastAsia="Arial" w:hAnsi="Arial"/>
        </w:rPr>
      </w:pPr>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virtual site visit on April 24-25, 2023. The site visit included meetings with the Provost and Vice-President (Academic), Deputy Provost and Vice-Provost (Teaching &amp; Learning), Dean of Engineering, the Chair of the Department, the Coordinator of the program, the Dean of Graduate Studies, the </w:t>
      </w:r>
      <w:r w:rsidDel="00000000" w:rsidR="00000000" w:rsidRPr="00000000">
        <w:rPr>
          <w:rFonts w:ascii="Arial" w:cs="Arial" w:eastAsia="Arial" w:hAnsi="Arial"/>
          <w:color w:val="292526"/>
          <w:rtl w:val="0"/>
        </w:rPr>
        <w:t xml:space="preserve">Director of Research Services, </w:t>
      </w:r>
      <w:r w:rsidDel="00000000" w:rsidR="00000000" w:rsidRPr="00000000">
        <w:rPr>
          <w:rFonts w:ascii="Arial" w:cs="Arial" w:eastAsia="Arial" w:hAnsi="Arial"/>
          <w:rtl w:val="0"/>
        </w:rPr>
        <w:t xml:space="preserve">the Vice-Provost (International), the University Librarian and Liaison Librarian, full-time, tenure-track faculty members, a group of graduate students, and a group of alumni.  The Review Team was provided with a video tour of the Thunder Bay campus including classrooms, offices, and lab spaces.  </w:t>
      </w:r>
    </w:p>
    <w:p w:rsidR="00000000" w:rsidDel="00000000" w:rsidP="00000000" w:rsidRDefault="00000000" w:rsidRPr="00000000" w14:paraId="00000031">
      <w:pPr>
        <w:spacing w:after="120" w:line="276" w:lineRule="auto"/>
        <w:rPr>
          <w:rFonts w:ascii="Arial" w:cs="Arial" w:eastAsia="Arial" w:hAnsi="Arial"/>
          <w:color w:val="222222"/>
          <w:highlight w:val="white"/>
        </w:rPr>
      </w:pPr>
      <w:r w:rsidDel="00000000" w:rsidR="00000000" w:rsidRPr="00000000">
        <w:rPr>
          <w:rFonts w:ascii="Arial" w:cs="Arial" w:eastAsia="Arial" w:hAnsi="Arial"/>
          <w:rtl w:val="0"/>
        </w:rPr>
        <w:t xml:space="preserve">In their report (July 2023), the Review Team provided feedback that describes how the programs delivered by the Department of Civil Engineering meet the Quality Assurance Framework evaluation criteria and a</w:t>
      </w:r>
      <w:r w:rsidDel="00000000" w:rsidR="00000000" w:rsidRPr="00000000">
        <w:rPr>
          <w:rFonts w:ascii="Arial" w:cs="Arial" w:eastAsia="Arial" w:hAnsi="Arial"/>
          <w:color w:val="222222"/>
          <w:highlight w:val="white"/>
          <w:rtl w:val="0"/>
        </w:rPr>
        <w:t xml:space="preserve">lign with the University mission, strategic plan and academic plan. The Review Team notes that the </w:t>
      </w:r>
      <w:r w:rsidDel="00000000" w:rsidR="00000000" w:rsidRPr="00000000">
        <w:rPr>
          <w:rFonts w:ascii="Arial" w:cs="Arial" w:eastAsia="Arial" w:hAnsi="Arial"/>
          <w:rtl w:val="0"/>
        </w:rPr>
        <w:t xml:space="preserve">program is of high quality and offers students a learner-centred experience supported by the creative and scholarly contributions of the full-time faculty members.</w:t>
      </w:r>
      <w:r w:rsidDel="00000000" w:rsidR="00000000" w:rsidRPr="00000000">
        <w:rPr>
          <w:rtl w:val="0"/>
        </w:rPr>
      </w:r>
    </w:p>
    <w:p w:rsidR="00000000" w:rsidDel="00000000" w:rsidP="00000000" w:rsidRDefault="00000000" w:rsidRPr="00000000" w14:paraId="00000032">
      <w:pPr>
        <w:spacing w:line="276" w:lineRule="auto"/>
        <w:rPr>
          <w:rFonts w:ascii="Arial" w:cs="Arial" w:eastAsia="Arial" w:hAnsi="Arial"/>
        </w:rPr>
      </w:pPr>
      <w:r w:rsidDel="00000000" w:rsidR="00000000" w:rsidRPr="00000000">
        <w:rPr>
          <w:rFonts w:ascii="Arial" w:cs="Arial" w:eastAsia="Arial" w:hAnsi="Arial"/>
          <w:rtl w:val="0"/>
        </w:rPr>
        <w:t xml:space="preserve">At the graduate level, students must meet the standard University admission policies which are appropriate for the Program Learning Outcomes.  Curriculum structure and delivery, and teaching and assessment methods are appropriate, are aligned with comparable programs across Canada at the graduate level, reflect the current state of the discipline, and are effective in preparing graduates to meet defined program outcomes and the University’s Graduate Degree Level Expectations.  </w:t>
        <w:br w:type="textWrapping"/>
      </w:r>
    </w:p>
    <w:p w:rsidR="00000000" w:rsidDel="00000000" w:rsidP="00000000" w:rsidRDefault="00000000" w:rsidRPr="00000000" w14:paraId="00000033">
      <w:pPr>
        <w:pStyle w:val="Heading2"/>
        <w:spacing w:after="0" w:before="0" w:line="276" w:lineRule="auto"/>
        <w:rPr/>
      </w:pPr>
      <w:r w:rsidDel="00000000" w:rsidR="00000000" w:rsidRPr="00000000">
        <w:rPr>
          <w:rtl w:val="0"/>
        </w:rPr>
        <w:t xml:space="preserve">Strengths Summarized</w:t>
      </w:r>
    </w:p>
    <w:p w:rsidR="00000000" w:rsidDel="00000000" w:rsidP="00000000" w:rsidRDefault="00000000" w:rsidRPr="00000000" w14:paraId="00000034">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r>
    </w:p>
    <w:p w:rsidR="00000000" w:rsidDel="00000000" w:rsidP="00000000" w:rsidRDefault="00000000" w:rsidRPr="00000000" w14:paraId="0000003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92"/>
          <w:tab w:val="left" w:leader="none" w:pos="1494"/>
        </w:tabs>
        <w:spacing w:after="0" w:before="1" w:line="288" w:lineRule="auto"/>
        <w:ind w:left="1494" w:right="53"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Impressive growth in graduate student enrolment for such a relatively young program over a relatively short period of time.</w:t>
      </w:r>
    </w:p>
    <w:p w:rsidR="00000000" w:rsidDel="00000000" w:rsidP="00000000" w:rsidRDefault="00000000" w:rsidRPr="00000000" w14:paraId="0000003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92"/>
          <w:tab w:val="left" w:leader="none" w:pos="1494"/>
        </w:tabs>
        <w:spacing w:after="0" w:before="0" w:line="288" w:lineRule="auto"/>
        <w:ind w:left="1494" w:right="55"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program offers a well-rounded curriculum that covers a wide range of subjects within civil engineering.</w:t>
      </w:r>
    </w:p>
    <w:p w:rsidR="00000000" w:rsidDel="00000000" w:rsidP="00000000" w:rsidRDefault="00000000" w:rsidRPr="00000000" w14:paraId="0000003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94"/>
        </w:tabs>
        <w:spacing w:after="0" w:before="0" w:line="288" w:lineRule="auto"/>
        <w:ind w:left="1494" w:right="51"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members have a good history of working with Indigenous peoples, first- generation learners, and college transfer students.</w:t>
      </w:r>
    </w:p>
    <w:p w:rsidR="00000000" w:rsidDel="00000000" w:rsidP="00000000" w:rsidRDefault="00000000" w:rsidRPr="00000000" w14:paraId="0000003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92"/>
          <w:tab w:val="left" w:leader="none" w:pos="1494"/>
        </w:tabs>
        <w:spacing w:after="0" w:before="0" w:line="288" w:lineRule="auto"/>
        <w:ind w:left="1494" w:right="50"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Many faculty members are actively engaged in various professional activities nationwide.</w:t>
      </w:r>
    </w:p>
    <w:p w:rsidR="00000000" w:rsidDel="00000000" w:rsidP="00000000" w:rsidRDefault="00000000" w:rsidRPr="00000000" w14:paraId="0000003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92"/>
          <w:tab w:val="left" w:leader="none" w:pos="1494"/>
        </w:tabs>
        <w:spacing w:after="0" w:before="0" w:line="288" w:lineRule="auto"/>
        <w:ind w:left="1494" w:right="52"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Despite lacking space, laboratories are well-equipped to support student learning and research. Specially, the CFI-funded state-of-the-art Fire Testing and Research Laboratory (LUFTRL) provides a platform for collaborative research to generate innovative solutions by studying the fire resistance of various construction materials and building assemblies.</w:t>
      </w:r>
    </w:p>
    <w:p w:rsidR="00000000" w:rsidDel="00000000" w:rsidP="00000000" w:rsidRDefault="00000000" w:rsidRPr="00000000" w14:paraId="0000003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94"/>
        </w:tabs>
        <w:spacing w:after="0" w:before="0" w:line="288" w:lineRule="auto"/>
        <w:ind w:left="1494" w:right="51"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program often offers research opportunities for students to engage in independent or collaborative research projects. This allows students to work on cutting-edge research topics, contribute to the advancement of knowledge in civil engineering, and develop their research skills.</w:t>
        <w:br w:type="textWrapping"/>
      </w:r>
    </w:p>
    <w:p w:rsidR="00000000" w:rsidDel="00000000" w:rsidP="00000000" w:rsidRDefault="00000000" w:rsidRPr="00000000" w14:paraId="0000003B">
      <w:pPr>
        <w:pStyle w:val="Heading2"/>
        <w:spacing w:after="120" w:before="0" w:line="276" w:lineRule="auto"/>
        <w:rPr/>
      </w:pPr>
      <w:r w:rsidDel="00000000" w:rsidR="00000000" w:rsidRPr="00000000">
        <w:rPr>
          <w:rtl w:val="0"/>
        </w:rPr>
        <w:t xml:space="preserve">Opportunities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w:t>
      </w:r>
      <w:r w:rsidDel="00000000" w:rsidR="00000000" w:rsidRPr="00000000">
        <w:rPr>
          <w:rFonts w:ascii="Arial" w:cs="Arial" w:eastAsia="Arial" w:hAnsi="Arial"/>
          <w:rtl w:val="0"/>
        </w:rPr>
        <w:t xml:space="preserve">three</w:t>
      </w: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 opportunities for improvement as part of their summary.  Opportunities, unlike Recommendations, are not commented on as part of the FAR.</w:t>
      </w:r>
    </w:p>
    <w:p w:rsidR="00000000" w:rsidDel="00000000" w:rsidP="00000000" w:rsidRDefault="00000000" w:rsidRPr="00000000" w14:paraId="0000003D">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suggest:</w:t>
      </w:r>
    </w:p>
    <w:p w:rsidR="00000000" w:rsidDel="00000000" w:rsidP="00000000" w:rsidRDefault="00000000" w:rsidRPr="00000000" w14:paraId="0000003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92"/>
          <w:tab w:val="left" w:leader="none" w:pos="1494"/>
        </w:tabs>
        <w:spacing w:after="0" w:before="70" w:line="288" w:lineRule="auto"/>
        <w:ind w:left="1494" w:right="53"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Encouraging interdisciplinary coursework or offering elective courses that allow students to explore related interdisciplinary fields could broaden their knowledge base and foster a more holistic approach to problem-solving.</w:t>
      </w:r>
    </w:p>
    <w:p w:rsidR="00000000" w:rsidDel="00000000" w:rsidP="00000000" w:rsidRDefault="00000000" w:rsidRPr="00000000" w14:paraId="0000003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92"/>
          <w:tab w:val="left" w:leader="none" w:pos="1494"/>
        </w:tabs>
        <w:spacing w:after="0" w:before="0" w:line="288" w:lineRule="auto"/>
        <w:ind w:left="1494" w:right="53"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Promoting diversity and inclusion within the program can create a more inclusive learning environment. Encouraging diverse perspectives and experiences through targeted recruitment efforts, guest lectures from underrepresented groups, and inclusive teaching practices can enrich the educational experience for all students.</w:t>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494"/>
        </w:tabs>
        <w:spacing w:after="0" w:before="0" w:line="288" w:lineRule="auto"/>
        <w:ind w:left="1494" w:right="52" w:hanging="360"/>
        <w:jc w:val="both"/>
        <w:rPr>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Strengthening ties with department alumni can offer numerous benefits. Building an alumni network and organizing alumni events can provide students with valuable networking opportunities, career guidance, and access to job placements. Alumni can also serve as mentors or guest speakers, sharing their industry experiences and insights.</w:t>
        <w:br w:type="textWrapping"/>
      </w:r>
    </w:p>
    <w:p w:rsidR="00000000" w:rsidDel="00000000" w:rsidP="00000000" w:rsidRDefault="00000000" w:rsidRPr="00000000" w14:paraId="00000041">
      <w:pPr>
        <w:pStyle w:val="Heading2"/>
        <w:spacing w:after="120" w:before="0" w:line="276" w:lineRule="auto"/>
        <w:rPr/>
      </w:pPr>
      <w:r w:rsidDel="00000000" w:rsidR="00000000" w:rsidRPr="00000000">
        <w:rPr>
          <w:rtl w:val="0"/>
        </w:rPr>
        <w:t xml:space="preserve">Recommendations </w:t>
      </w:r>
    </w:p>
    <w:p w:rsidR="00000000" w:rsidDel="00000000" w:rsidP="00000000" w:rsidRDefault="00000000" w:rsidRPr="00000000" w14:paraId="00000042">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Department and Dean of the Faculty of Engineering to each of the Review Team Recommendations are included below.  Where appropriate, responses from the Office of the Provost are also included. </w:t>
      </w:r>
    </w:p>
    <w:p w:rsidR="00000000" w:rsidDel="00000000" w:rsidP="00000000" w:rsidRDefault="00000000" w:rsidRPr="00000000" w14:paraId="00000043">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1: In addition to currently-used methods, the program can develop proper plan and tools to monitor and assess the student’s research progress, e.g., requiring students to report their research progress every term or year, which will be evaluated by both supervisors and the Program Director.</w:t>
      </w:r>
    </w:p>
    <w:p w:rsidR="00000000" w:rsidDel="00000000" w:rsidP="00000000" w:rsidRDefault="00000000" w:rsidRPr="00000000" w14:paraId="00000044">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45">
      <w:pPr>
        <w:spacing w:after="120" w:line="276" w:lineRule="auto"/>
        <w:rPr>
          <w:rFonts w:ascii="Arial" w:cs="Arial" w:eastAsia="Arial" w:hAnsi="Arial"/>
        </w:rPr>
      </w:pPr>
      <w:r w:rsidDel="00000000" w:rsidR="00000000" w:rsidRPr="00000000">
        <w:rPr>
          <w:rFonts w:ascii="Arial" w:cs="Arial" w:eastAsia="Arial" w:hAnsi="Arial"/>
          <w:rtl w:val="0"/>
        </w:rPr>
        <w:t xml:space="preserve">The requirements for the thesis-based MSc program are 5 full-credit course equivalents (FCE) made up of: 4 half-credit courses (2 FCEs), a seminar course, which is Engineering 5012 (0.5 FCE) and a thesis, which is Engineering 5901 (2.5 FCEs).</w:t>
      </w:r>
    </w:p>
    <w:p w:rsidR="00000000" w:rsidDel="00000000" w:rsidP="00000000" w:rsidRDefault="00000000" w:rsidRPr="00000000" w14:paraId="00000046">
      <w:pPr>
        <w:spacing w:after="120" w:line="276" w:lineRule="auto"/>
        <w:rPr>
          <w:rFonts w:ascii="Arial" w:cs="Arial" w:eastAsia="Arial" w:hAnsi="Arial"/>
        </w:rPr>
      </w:pPr>
      <w:r w:rsidDel="00000000" w:rsidR="00000000" w:rsidRPr="00000000">
        <w:rPr>
          <w:rFonts w:ascii="Arial" w:cs="Arial" w:eastAsia="Arial" w:hAnsi="Arial"/>
          <w:rtl w:val="0"/>
        </w:rPr>
        <w:t xml:space="preserve">MSc students should finish their course requirements in the first year. If there is a failed course, FGS and the coordinator shall inform the student who is required to repeat or replace the course. This is mainly served as a progress monitoring and periodical assessment procedure.</w:t>
      </w:r>
    </w:p>
    <w:p w:rsidR="00000000" w:rsidDel="00000000" w:rsidP="00000000" w:rsidRDefault="00000000" w:rsidRPr="00000000" w14:paraId="00000047">
      <w:pPr>
        <w:spacing w:after="120" w:line="276" w:lineRule="auto"/>
        <w:rPr>
          <w:rFonts w:ascii="Arial" w:cs="Arial" w:eastAsia="Arial" w:hAnsi="Arial"/>
        </w:rPr>
      </w:pPr>
      <w:r w:rsidDel="00000000" w:rsidR="00000000" w:rsidRPr="00000000">
        <w:rPr>
          <w:rFonts w:ascii="Arial" w:cs="Arial" w:eastAsia="Arial" w:hAnsi="Arial"/>
          <w:rtl w:val="0"/>
        </w:rPr>
        <w:t xml:space="preserve">In the second year, MSc students should finish their thesis work. Students must take a seminar course, which is Engineering 5012, in which they make an open seminar on his/her research topic, research progress, and research schedule for the remaining work tasks to complete their program.  This also served as additional progress monitoring and assessment process for the student research progress. Furthermore, a form will be developed so graduate supervisors can follow up periodically on the progress of their MSc students (Program coordinator, program administrator: Jan 2024).</w:t>
      </w:r>
    </w:p>
    <w:p w:rsidR="00000000" w:rsidDel="00000000" w:rsidP="00000000" w:rsidRDefault="00000000" w:rsidRPr="00000000" w14:paraId="00000048">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49">
      <w:pPr>
        <w:widowControl w:val="0"/>
        <w:ind w:right="408"/>
        <w:rPr>
          <w:rFonts w:ascii="Arial" w:cs="Arial" w:eastAsia="Arial" w:hAnsi="Arial"/>
        </w:rPr>
      </w:pPr>
      <w:r w:rsidDel="00000000" w:rsidR="00000000" w:rsidRPr="00000000">
        <w:rPr>
          <w:rFonts w:ascii="Arial" w:cs="Arial" w:eastAsia="Arial" w:hAnsi="Arial"/>
          <w:rtl w:val="0"/>
        </w:rPr>
        <w:t xml:space="preserve">I support suggestions made by the visiting team and the response offered by the Department.</w:t>
      </w:r>
    </w:p>
    <w:p w:rsidR="00000000" w:rsidDel="00000000" w:rsidP="00000000" w:rsidRDefault="00000000" w:rsidRPr="00000000" w14:paraId="0000004A">
      <w:pPr>
        <w:widowControl w:val="0"/>
        <w:ind w:right="408"/>
        <w:rPr>
          <w:rFonts w:ascii="Arial" w:cs="Arial" w:eastAsia="Arial" w:hAnsi="Arial"/>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r w:rsidDel="00000000" w:rsidR="00000000" w:rsidRPr="00000000">
        <w:rPr>
          <w:rtl w:val="0"/>
        </w:rPr>
      </w:r>
    </w:p>
    <w:p w:rsidR="00000000" w:rsidDel="00000000" w:rsidP="00000000" w:rsidRDefault="00000000" w:rsidRPr="00000000" w14:paraId="0000004B">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This is an important recommendation. As indicated in its reply, the program is making progress toward better monitoring student progress, and I would encourage further development of a formal tracking process.</w:t>
      </w:r>
    </w:p>
    <w:p w:rsidR="00000000" w:rsidDel="00000000" w:rsidP="00000000" w:rsidRDefault="00000000" w:rsidRPr="00000000" w14:paraId="0000004C">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120" w:line="276" w:lineRule="auto"/>
        <w:rPr>
          <w:rFonts w:ascii="Arial" w:cs="Arial" w:eastAsia="Arial" w:hAnsi="Arial"/>
          <w:b w:val="1"/>
          <w:bCs w:val="1"/>
        </w:rPr>
      </w:pPr>
      <w:bookmarkStart w:colFirst="0" w:colLast="0" w:name="_heading=h.14r38lxne25w" w:id="1"/>
      <w:bookmarkEnd w:id="1"/>
      <w:r w:rsidDel="00000000" w:rsidR="00000000" w:rsidRPr="00000000">
        <w:rPr>
          <w:rFonts w:ascii="Arial" w:cs="Arial" w:eastAsia="Arial" w:hAnsi="Arial"/>
          <w:b w:val="1"/>
          <w:bCs w:val="1"/>
          <w:rtl w:val="0"/>
        </w:rPr>
        <w:t xml:space="preserve">RECOMMENDATION 2: There seem to be fewer human resources (administrative personnel, laboratory technicians, faculty members) than are required to adequately staff the graduate programs. We recommend adding at least one program administrative staff dedicated to the Civil Engineering program and two more faculty members to strengthen areas other than structural engineering, geotechnical engineering, and geo-environment engineering.</w:t>
      </w:r>
    </w:p>
    <w:p w:rsidR="00000000" w:rsidDel="00000000" w:rsidP="00000000" w:rsidRDefault="00000000" w:rsidRPr="00000000" w14:paraId="0000004E">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4F">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agrees with the Recommendation.</w:t>
      </w:r>
    </w:p>
    <w:p w:rsidR="00000000" w:rsidDel="00000000" w:rsidP="00000000" w:rsidRDefault="00000000" w:rsidRPr="00000000" w14:paraId="00000050">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of Civil Engineering will request that one more administrative staff be hired to support the growth of the Civil Engineering graduate programs, (Department Chair and Dean: January 2024)</w:t>
      </w:r>
    </w:p>
    <w:p w:rsidR="00000000" w:rsidDel="00000000" w:rsidP="00000000" w:rsidRDefault="00000000" w:rsidRPr="00000000" w14:paraId="00000051">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of Civil Engineering will request hiring of two more faculty members to strengthen areas other than structural engineering, geotechnical engineering, and geo-environment engineering.</w:t>
      </w:r>
    </w:p>
    <w:p w:rsidR="00000000" w:rsidDel="00000000" w:rsidP="00000000" w:rsidRDefault="00000000" w:rsidRPr="00000000" w14:paraId="00000052">
      <w:pPr>
        <w:spacing w:after="120" w:line="276" w:lineRule="auto"/>
        <w:rPr>
          <w:rFonts w:ascii="Arial" w:cs="Arial" w:eastAsia="Arial" w:hAnsi="Arial"/>
        </w:rPr>
      </w:pPr>
      <w:r w:rsidDel="00000000" w:rsidR="00000000" w:rsidRPr="00000000">
        <w:rPr>
          <w:rFonts w:ascii="Arial" w:cs="Arial" w:eastAsia="Arial" w:hAnsi="Arial"/>
          <w:rtl w:val="0"/>
        </w:rPr>
        <w:t xml:space="preserve">(Department Chair and Dean: January 2024)</w:t>
      </w:r>
    </w:p>
    <w:p w:rsidR="00000000" w:rsidDel="00000000" w:rsidP="00000000" w:rsidRDefault="00000000" w:rsidRPr="00000000" w14:paraId="0000005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4">
      <w:pPr>
        <w:spacing w:after="120" w:line="276" w:lineRule="auto"/>
        <w:rPr>
          <w:rFonts w:ascii="Arial" w:cs="Arial" w:eastAsia="Arial" w:hAnsi="Arial"/>
        </w:rPr>
      </w:pPr>
      <w:r w:rsidDel="00000000" w:rsidR="00000000" w:rsidRPr="00000000">
        <w:rPr>
          <w:rFonts w:ascii="Arial" w:cs="Arial" w:eastAsia="Arial" w:hAnsi="Arial"/>
          <w:rtl w:val="0"/>
        </w:rPr>
        <w:t xml:space="preserve">These recommendations are reasonable. </w:t>
      </w:r>
    </w:p>
    <w:p w:rsidR="00000000" w:rsidDel="00000000" w:rsidP="00000000" w:rsidRDefault="00000000" w:rsidRPr="00000000" w14:paraId="00000055">
      <w:pPr>
        <w:spacing w:after="120" w:line="276" w:lineRule="auto"/>
        <w:rPr>
          <w:rFonts w:ascii="Arial" w:cs="Arial" w:eastAsia="Arial" w:hAnsi="Arial"/>
        </w:rPr>
      </w:pPr>
      <w:r w:rsidDel="00000000" w:rsidR="00000000" w:rsidRPr="00000000">
        <w:rPr>
          <w:rFonts w:ascii="Arial" w:cs="Arial" w:eastAsia="Arial" w:hAnsi="Arial"/>
          <w:rtl w:val="0"/>
        </w:rPr>
        <w:t xml:space="preserve">One faculty member has already been hired (August 2023). Future faculty and administrative hires will depend on the University’s financial milieu, as well as student enrolment in programs delivered by the Department including the MSc program. </w:t>
      </w:r>
    </w:p>
    <w:p w:rsidR="00000000" w:rsidDel="00000000" w:rsidP="00000000" w:rsidRDefault="00000000" w:rsidRPr="00000000" w14:paraId="00000056">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7">
      <w:pPr>
        <w:ind w:right="408"/>
        <w:rPr>
          <w:rFonts w:ascii="Arial" w:cs="Arial" w:eastAsia="Arial" w:hAnsi="Arial"/>
        </w:rPr>
      </w:pPr>
      <w:r w:rsidDel="00000000" w:rsidR="00000000" w:rsidRPr="00000000">
        <w:rPr>
          <w:rFonts w:ascii="Arial" w:cs="Arial" w:eastAsia="Arial" w:hAnsi="Arial"/>
          <w:rtl w:val="0"/>
        </w:rPr>
        <w:t xml:space="preserve">I agree that these are reasonable recommendations and support the program’s request for additional administrative and faculty resources.</w:t>
      </w:r>
    </w:p>
    <w:p w:rsidR="00000000" w:rsidDel="00000000" w:rsidP="00000000" w:rsidRDefault="00000000" w:rsidRPr="00000000" w14:paraId="00000058">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9">
      <w:pPr>
        <w:spacing w:after="120" w:line="276" w:lineRule="auto"/>
        <w:rPr>
          <w:rFonts w:ascii="Arial" w:cs="Arial" w:eastAsia="Arial" w:hAnsi="Arial"/>
          <w:b w:val="1"/>
          <w:bCs w:val="1"/>
        </w:rPr>
      </w:pPr>
      <w:bookmarkStart w:colFirst="0" w:colLast="0" w:name="_heading=h.psli1sst0f7e" w:id="2"/>
      <w:bookmarkEnd w:id="2"/>
      <w:r w:rsidDel="00000000" w:rsidR="00000000" w:rsidRPr="00000000">
        <w:rPr>
          <w:rFonts w:ascii="Arial" w:cs="Arial" w:eastAsia="Arial" w:hAnsi="Arial"/>
          <w:b w:val="1"/>
          <w:bCs w:val="1"/>
          <w:rtl w:val="0"/>
        </w:rPr>
        <w:t xml:space="preserve">RECOMMENDATION 3: The program can develop strategies to recruit out-of- province domestic graduate students in addition to the students graduated from the department's undergraduate program. Making the title of the course- based MSc more distinct from thesis-based MSc, e.g., as Master of Engineering (MEng) in line with other similar programs, and enhancing part- time program have the potential to attract students from other cities in Ontario.</w:t>
      </w:r>
    </w:p>
    <w:p w:rsidR="00000000" w:rsidDel="00000000" w:rsidP="00000000" w:rsidRDefault="00000000" w:rsidRPr="00000000" w14:paraId="0000005A">
      <w:pPr>
        <w:spacing w:after="120" w:line="276" w:lineRule="auto"/>
        <w:rPr>
          <w:rFonts w:ascii="Arial" w:cs="Arial" w:eastAsia="Arial" w:hAnsi="Arial"/>
          <w:b w:val="1"/>
          <w:bCs w:val="1"/>
          <w:color w:val="1f497d"/>
        </w:rPr>
      </w:pPr>
      <w:r w:rsidDel="00000000" w:rsidR="00000000" w:rsidRPr="00000000">
        <w:rPr>
          <w:rtl w:val="0"/>
        </w:rPr>
      </w:r>
    </w:p>
    <w:p w:rsidR="00000000" w:rsidDel="00000000" w:rsidP="00000000" w:rsidRDefault="00000000" w:rsidRPr="00000000" w14:paraId="0000005B">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Fonts w:ascii="Arial" w:cs="Arial" w:eastAsia="Arial" w:hAnsi="Arial"/>
          <w:rtl w:val="0"/>
        </w:rPr>
        <w:t xml:space="preserve">The department will develop strategies to recruit out-of-province domestic graduate students in addition to the students who graduated from the department’s undergraduate program. For example, the M.Sc. program in Civil Engineering has a plan to further enhance the academic and administrative services being provided to current and future MSc students. This will enhance the quality of our MSc program and ultimately attract more out-of-province domestic graduate students in addition to the students graduated from the department’s undergraduate program. Recently, the Faculty of Engineering has been finalizing the implementation of a totally modern, advanced and user-friendly website, which is another approach to attract more students nationally and internationally. (All faculty members and administration staff)</w:t>
      </w:r>
    </w:p>
    <w:p w:rsidR="00000000" w:rsidDel="00000000" w:rsidP="00000000" w:rsidRDefault="00000000" w:rsidRPr="00000000" w14:paraId="0000005D">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line="276" w:lineRule="auto"/>
        <w:rPr>
          <w:rFonts w:ascii="Arial" w:cs="Arial" w:eastAsia="Arial" w:hAnsi="Arial"/>
        </w:rPr>
      </w:pPr>
      <w:r w:rsidDel="00000000" w:rsidR="00000000" w:rsidRPr="00000000">
        <w:rPr>
          <w:rFonts w:ascii="Arial" w:cs="Arial" w:eastAsia="Arial" w:hAnsi="Arial"/>
          <w:rtl w:val="0"/>
        </w:rPr>
        <w:t xml:space="preserve">The Department of Civil Engineering has plans to organize more information sessions for our fourth-year undergraduate students to retain more of our domestic students into the MSc program (Department Chair, program coordinator, graduate administrator: May 2024)</w:t>
      </w:r>
    </w:p>
    <w:p w:rsidR="00000000" w:rsidDel="00000000" w:rsidP="00000000" w:rsidRDefault="00000000" w:rsidRPr="00000000" w14:paraId="0000005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rPr>
      </w:pPr>
      <w:r w:rsidDel="00000000" w:rsidR="00000000" w:rsidRPr="00000000">
        <w:rPr>
          <w:rFonts w:ascii="Arial" w:cs="Arial" w:eastAsia="Arial" w:hAnsi="Arial"/>
          <w:rtl w:val="0"/>
        </w:rPr>
        <w:t xml:space="preserve">About differentiating the title of the course-based master program from that of the thesis-based master program (from MSc to Meng), the department needs to stand in line with other engineering MSc programs in the Faculty of Engineering and Lakehead University. However, the Department of Civil Engineering will request the reactivation of the recommendation to change course-based MSc to Meng and part-time student program. (Program coordinator, program administrator: May 2024) </w:t>
        <w:br w:type="textWrapping"/>
      </w:r>
    </w:p>
    <w:p w:rsidR="00000000" w:rsidDel="00000000" w:rsidP="00000000" w:rsidRDefault="00000000" w:rsidRPr="00000000" w14:paraId="00000061">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2">
      <w:pPr>
        <w:spacing w:after="120" w:line="276" w:lineRule="auto"/>
        <w:rPr>
          <w:rFonts w:ascii="Arial" w:cs="Arial" w:eastAsia="Arial" w:hAnsi="Arial"/>
        </w:rPr>
      </w:pPr>
      <w:r w:rsidDel="00000000" w:rsidR="00000000" w:rsidRPr="00000000">
        <w:rPr>
          <w:rFonts w:ascii="Arial" w:cs="Arial" w:eastAsia="Arial" w:hAnsi="Arial"/>
          <w:rtl w:val="0"/>
        </w:rPr>
        <w:t xml:space="preserve">Dean’s Office in the Faculty of Engineering will support initiatives outlined by the Department. </w:t>
      </w:r>
    </w:p>
    <w:p w:rsidR="00000000" w:rsidDel="00000000" w:rsidP="00000000" w:rsidRDefault="00000000" w:rsidRPr="00000000" w14:paraId="0000006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4">
      <w:pPr>
        <w:spacing w:after="120" w:line="276" w:lineRule="auto"/>
        <w:rPr>
          <w:rFonts w:ascii="Arial" w:cs="Arial" w:eastAsia="Arial" w:hAnsi="Arial"/>
        </w:rPr>
      </w:pPr>
      <w:r w:rsidDel="00000000" w:rsidR="00000000" w:rsidRPr="00000000">
        <w:rPr>
          <w:rFonts w:ascii="Arial" w:cs="Arial" w:eastAsia="Arial" w:hAnsi="Arial"/>
          <w:rtl w:val="0"/>
        </w:rPr>
        <w:t xml:space="preserve">The Faculty of Graduate Studies is willing to work with the program to develop recruitment initiatives and to discuss how FGS can best support such initiatives.</w:t>
        <w:br w:type="textWrapping"/>
      </w:r>
    </w:p>
    <w:p w:rsidR="00000000" w:rsidDel="00000000" w:rsidP="00000000" w:rsidRDefault="00000000" w:rsidRPr="00000000" w14:paraId="00000065">
      <w:pPr>
        <w:spacing w:after="120" w:line="276" w:lineRule="auto"/>
        <w:rPr>
          <w:rFonts w:ascii="Arial" w:cs="Arial" w:eastAsia="Arial" w:hAnsi="Arial"/>
          <w:b w:val="1"/>
          <w:bCs w:val="1"/>
        </w:rPr>
      </w:pPr>
      <w:bookmarkStart w:colFirst="0" w:colLast="0" w:name="_heading=h.97ui27vfe2wt" w:id="3"/>
      <w:bookmarkEnd w:id="3"/>
      <w:r w:rsidDel="00000000" w:rsidR="00000000" w:rsidRPr="00000000">
        <w:rPr>
          <w:rFonts w:ascii="Arial" w:cs="Arial" w:eastAsia="Arial" w:hAnsi="Arial"/>
          <w:b w:val="1"/>
          <w:bCs w:val="1"/>
          <w:rtl w:val="0"/>
        </w:rPr>
        <w:t xml:space="preserve">RECOMMENDATION 4: Students and/or staff should be better represented in academic governance and department planning and decision-making.</w:t>
      </w:r>
    </w:p>
    <w:p w:rsidR="00000000" w:rsidDel="00000000" w:rsidP="00000000" w:rsidRDefault="00000000" w:rsidRPr="00000000" w14:paraId="00000066">
      <w:pPr>
        <w:spacing w:after="120" w:line="276"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p>
    <w:p w:rsidR="00000000" w:rsidDel="00000000" w:rsidP="00000000" w:rsidRDefault="00000000" w:rsidRPr="00000000" w14:paraId="00000067">
      <w:pPr>
        <w:spacing w:after="120" w:line="276" w:lineRule="auto"/>
        <w:rPr>
          <w:rFonts w:ascii="Arial" w:cs="Arial" w:eastAsia="Arial" w:hAnsi="Arial"/>
        </w:rPr>
      </w:pPr>
      <w:r w:rsidDel="00000000" w:rsidR="00000000" w:rsidRPr="00000000">
        <w:rPr>
          <w:rFonts w:ascii="Arial" w:cs="Arial" w:eastAsia="Arial" w:hAnsi="Arial"/>
          <w:rtl w:val="0"/>
        </w:rPr>
        <w:t xml:space="preserve">In the council meeting of the Faculty of Engineering, students and/or staff have been invited to participate in academic governance and department planning and decision-making. </w:t>
      </w:r>
    </w:p>
    <w:p w:rsidR="00000000" w:rsidDel="00000000" w:rsidP="00000000" w:rsidRDefault="00000000" w:rsidRPr="00000000" w14:paraId="00000068">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of Civil Engineering will promote more participation among students and staff in academic governance and department planning and decision-making. (Department Chair, May 2024)</w:t>
      </w:r>
    </w:p>
    <w:p w:rsidR="00000000" w:rsidDel="00000000" w:rsidP="00000000" w:rsidRDefault="00000000" w:rsidRPr="00000000" w14:paraId="00000069">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A">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concur with the departmental response. </w:t>
      </w:r>
    </w:p>
    <w:p w:rsidR="00000000" w:rsidDel="00000000" w:rsidP="00000000" w:rsidRDefault="00000000" w:rsidRPr="00000000" w14:paraId="0000006B">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C">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There is an Engineering student representative on the Faculty of Graduate Studies Council. I support the program’s initiatives to promote more student and staff participation in planning and decision-making.</w:t>
      </w:r>
    </w:p>
    <w:p w:rsidR="00000000" w:rsidDel="00000000" w:rsidP="00000000" w:rsidRDefault="00000000" w:rsidRPr="00000000" w14:paraId="0000006D">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120" w:line="276" w:lineRule="auto"/>
        <w:rPr>
          <w:rFonts w:ascii="Arial" w:cs="Arial" w:eastAsia="Arial" w:hAnsi="Arial"/>
          <w:b w:val="1"/>
          <w:bCs w:val="1"/>
        </w:rPr>
      </w:pPr>
      <w:bookmarkStart w:colFirst="0" w:colLast="0" w:name="_heading=h.x1csyuzb0ln7" w:id="4"/>
      <w:bookmarkEnd w:id="4"/>
      <w:r w:rsidDel="00000000" w:rsidR="00000000" w:rsidRPr="00000000">
        <w:rPr>
          <w:rFonts w:ascii="Arial" w:cs="Arial" w:eastAsia="Arial" w:hAnsi="Arial"/>
          <w:b w:val="1"/>
          <w:bCs w:val="1"/>
          <w:rtl w:val="0"/>
        </w:rPr>
        <w:t xml:space="preserve">RECOMMENDATION 5: A program-specific scholarship program is highly recommended. Pursuing a master’s degree in civil engineering can be financially challenging for many students. The program typically requires a substantial investment of time and money, including tuition fees and living expenses. Scholarships reduce the financial burden, allowing students to focus on their studies and research without the added stress of financial constraints.</w:t>
      </w:r>
    </w:p>
    <w:p w:rsidR="00000000" w:rsidDel="00000000" w:rsidP="00000000" w:rsidRDefault="00000000" w:rsidRPr="00000000" w14:paraId="0000006F">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70">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agrees with the Recommendation.</w:t>
      </w:r>
    </w:p>
    <w:p w:rsidR="00000000" w:rsidDel="00000000" w:rsidP="00000000" w:rsidRDefault="00000000" w:rsidRPr="00000000" w14:paraId="00000071">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of Civil Engineering has received several funding packages from the FGS every year for both domestic and international students. </w:t>
      </w:r>
    </w:p>
    <w:p w:rsidR="00000000" w:rsidDel="00000000" w:rsidP="00000000" w:rsidRDefault="00000000" w:rsidRPr="00000000" w14:paraId="00000072">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will request more funding packages for the thesis-based MSc students from FGS and will try to attract more funds from local sponsors, companies, governmental sectors, and industry partners for Civil Engineering MSc students. (Dean, Chair, and program coordinator March 2024).</w:t>
      </w:r>
    </w:p>
    <w:p w:rsidR="00000000" w:rsidDel="00000000" w:rsidP="00000000" w:rsidRDefault="00000000" w:rsidRPr="00000000" w14:paraId="0000007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4">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strongly support this recommendation and the response offered by the Department. </w:t>
      </w:r>
    </w:p>
    <w:p w:rsidR="00000000" w:rsidDel="00000000" w:rsidP="00000000" w:rsidRDefault="00000000" w:rsidRPr="00000000" w14:paraId="00000075">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6">
      <w:pPr>
        <w:spacing w:after="120" w:line="276" w:lineRule="auto"/>
        <w:rPr>
          <w:rFonts w:ascii="Arial" w:cs="Arial" w:eastAsia="Arial" w:hAnsi="Arial"/>
        </w:rPr>
      </w:pPr>
      <w:r w:rsidDel="00000000" w:rsidR="00000000" w:rsidRPr="00000000">
        <w:rPr>
          <w:rFonts w:ascii="Arial" w:cs="Arial" w:eastAsia="Arial" w:hAnsi="Arial"/>
          <w:color w:val="000000"/>
          <w:rtl w:val="0"/>
        </w:rPr>
        <w:t xml:space="preserve">I also support this recommendation. FGS will work with the program and the Dean of Engineering to continue to provide funding packages for MSc thesis students and to explore opportunities to increase the available funding.</w:t>
        <w:br w:type="textWrapping"/>
      </w:r>
      <w:r w:rsidDel="00000000" w:rsidR="00000000" w:rsidRPr="00000000">
        <w:rPr>
          <w:rtl w:val="0"/>
        </w:rPr>
      </w:r>
    </w:p>
    <w:p w:rsidR="00000000" w:rsidDel="00000000" w:rsidP="00000000" w:rsidRDefault="00000000" w:rsidRPr="00000000" w14:paraId="00000077">
      <w:pPr>
        <w:spacing w:after="120" w:line="276" w:lineRule="auto"/>
        <w:rPr>
          <w:rFonts w:ascii="Arial" w:cs="Arial" w:eastAsia="Arial" w:hAnsi="Arial"/>
          <w:b w:val="1"/>
          <w:bCs w:val="1"/>
        </w:rPr>
      </w:pPr>
      <w:bookmarkStart w:colFirst="0" w:colLast="0" w:name="_heading=h.mcv1ew1bfiq" w:id="5"/>
      <w:bookmarkEnd w:id="5"/>
      <w:r w:rsidDel="00000000" w:rsidR="00000000" w:rsidRPr="00000000">
        <w:rPr>
          <w:rFonts w:ascii="Arial" w:cs="Arial" w:eastAsia="Arial" w:hAnsi="Arial"/>
          <w:b w:val="1"/>
          <w:bCs w:val="1"/>
          <w:rtl w:val="0"/>
        </w:rPr>
        <w:t xml:space="preserve">RECOMMENDATION 6: Scholarships can contribute to increasing diversity and inclusion within the MSc program in Civil Engineering. Targeted scholarships to indigenous students and students from underrepresented backgrounds will help bridge the gap in access to higher education. This, in turn, promotes a more inclusive and diverse cohort of students, fostering a richer learning experience and a broader range of perspectives within the program.</w:t>
      </w:r>
    </w:p>
    <w:p w:rsidR="00000000" w:rsidDel="00000000" w:rsidP="00000000" w:rsidRDefault="00000000" w:rsidRPr="00000000" w14:paraId="00000078">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t xml:space="preserve"> </w:t>
      </w:r>
    </w:p>
    <w:p w:rsidR="00000000" w:rsidDel="00000000" w:rsidP="00000000" w:rsidRDefault="00000000" w:rsidRPr="00000000" w14:paraId="00000079">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agrees with the Recommendation.</w:t>
      </w:r>
    </w:p>
    <w:p w:rsidR="00000000" w:rsidDel="00000000" w:rsidP="00000000" w:rsidRDefault="00000000" w:rsidRPr="00000000" w14:paraId="0000007A">
      <w:pPr>
        <w:spacing w:after="120" w:line="276" w:lineRule="auto"/>
        <w:rPr>
          <w:rFonts w:ascii="Arial" w:cs="Arial" w:eastAsia="Arial" w:hAnsi="Arial"/>
        </w:rPr>
      </w:pPr>
      <w:r w:rsidDel="00000000" w:rsidR="00000000" w:rsidRPr="00000000">
        <w:rPr>
          <w:rFonts w:ascii="Arial" w:cs="Arial" w:eastAsia="Arial" w:hAnsi="Arial"/>
          <w:rtl w:val="0"/>
        </w:rPr>
        <w:t xml:space="preserve">Currently, international graduate students constitute the majority of MSc students’ body in the department. The department will try to attract more indigenous students and students from underrepresented backgrounds by providing more scholarships, more inclusive and diverse learning environments, richer learning experience and a broader range of perspectives within the program. This issue is also related to space request for research and graduate students in general. The department will collaborate with the Department of Indigenous Education at Lakehead University to explore new ideas that can help in attracting more indigenous students. (Department chair, program coordinator, program administrator: May 2024)</w:t>
      </w:r>
    </w:p>
    <w:p w:rsidR="00000000" w:rsidDel="00000000" w:rsidP="00000000" w:rsidRDefault="00000000" w:rsidRPr="00000000" w14:paraId="0000007B">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C">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The Faculty of Engineering will contribute to the types of scholarships outlined by the visiting team once the framework and criteria for the allocation of the scholarships are finalized by the Department. </w:t>
      </w:r>
    </w:p>
    <w:p w:rsidR="00000000" w:rsidDel="00000000" w:rsidP="00000000" w:rsidRDefault="00000000" w:rsidRPr="00000000" w14:paraId="0000007D">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E">
      <w:pPr>
        <w:spacing w:after="120" w:line="276" w:lineRule="auto"/>
        <w:rPr>
          <w:rFonts w:ascii="Arial" w:cs="Arial" w:eastAsia="Arial" w:hAnsi="Arial"/>
          <w:color w:val="000000"/>
        </w:rPr>
      </w:pPr>
      <w:bookmarkStart w:colFirst="0" w:colLast="0" w:name="_heading=h.8n1zc3n6qpfc" w:id="6"/>
      <w:bookmarkEnd w:id="6"/>
      <w:r w:rsidDel="00000000" w:rsidR="00000000" w:rsidRPr="00000000">
        <w:rPr>
          <w:rFonts w:ascii="Arial" w:cs="Arial" w:eastAsia="Arial" w:hAnsi="Arial"/>
          <w:color w:val="000000"/>
          <w:rtl w:val="0"/>
        </w:rPr>
        <w:t xml:space="preserve">FGS will work with the program and the Dean of Engineering to improve the funding opportunities available to Indigenous students and those from under-represented groups.</w:t>
      </w:r>
    </w:p>
    <w:p w:rsidR="00000000" w:rsidDel="00000000" w:rsidP="00000000" w:rsidRDefault="00000000" w:rsidRPr="00000000" w14:paraId="0000007F">
      <w:pPr>
        <w:spacing w:after="12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0">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7: The program conducts a systematic review of the curriculum, considering that the program has not updated its curriculum since the program started, and the program has offered many topics under the ECIV- 5691.</w:t>
      </w:r>
    </w:p>
    <w:p w:rsidR="00000000" w:rsidDel="00000000" w:rsidP="00000000" w:rsidRDefault="00000000" w:rsidRPr="00000000" w14:paraId="00000081">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82">
      <w:pPr>
        <w:spacing w:after="120" w:line="276" w:lineRule="auto"/>
        <w:rPr>
          <w:rFonts w:ascii="Arial" w:cs="Arial" w:eastAsia="Arial" w:hAnsi="Arial"/>
        </w:rPr>
      </w:pPr>
      <w:r w:rsidDel="00000000" w:rsidR="00000000" w:rsidRPr="00000000">
        <w:rPr>
          <w:rFonts w:ascii="Arial" w:cs="Arial" w:eastAsia="Arial" w:hAnsi="Arial"/>
          <w:rtl w:val="0"/>
        </w:rPr>
        <w:t xml:space="preserve">The Department partially agrees with the Recommendation.</w:t>
      </w:r>
    </w:p>
    <w:p w:rsidR="00000000" w:rsidDel="00000000" w:rsidP="00000000" w:rsidRDefault="00000000" w:rsidRPr="00000000" w14:paraId="00000083">
      <w:pPr>
        <w:spacing w:after="120" w:line="276" w:lineRule="auto"/>
        <w:rPr>
          <w:rFonts w:ascii="Arial" w:cs="Arial" w:eastAsia="Arial" w:hAnsi="Arial"/>
        </w:rPr>
      </w:pPr>
      <w:r w:rsidDel="00000000" w:rsidR="00000000" w:rsidRPr="00000000">
        <w:rPr>
          <w:rFonts w:ascii="Arial" w:cs="Arial" w:eastAsia="Arial" w:hAnsi="Arial"/>
          <w:rtl w:val="0"/>
        </w:rPr>
        <w:t xml:space="preserve">ECIV-5691 is Advanced Topics in Civil Engineering, which mainly was offered before 2022. Currently the department has approved 23 graduate courses in Civil Engineering.</w:t>
      </w:r>
    </w:p>
    <w:p w:rsidR="00000000" w:rsidDel="00000000" w:rsidP="00000000" w:rsidRDefault="00000000" w:rsidRPr="00000000" w14:paraId="00000084">
      <w:pPr>
        <w:spacing w:after="120" w:line="276" w:lineRule="auto"/>
        <w:rPr>
          <w:rFonts w:ascii="Arial" w:cs="Arial" w:eastAsia="Arial" w:hAnsi="Arial"/>
        </w:rPr>
      </w:pPr>
      <w:r w:rsidDel="00000000" w:rsidR="00000000" w:rsidRPr="00000000">
        <w:rPr>
          <w:rFonts w:ascii="Arial" w:cs="Arial" w:eastAsia="Arial" w:hAnsi="Arial"/>
          <w:rtl w:val="0"/>
        </w:rPr>
        <w:t xml:space="preserve">The main difficulty is that not all Civil Engineering faculty members have the chance to offer graduate courses every year because they are too occupied with undergraduate teaching. </w:t>
      </w:r>
    </w:p>
    <w:p w:rsidR="00000000" w:rsidDel="00000000" w:rsidP="00000000" w:rsidRDefault="00000000" w:rsidRPr="00000000" w14:paraId="00000085">
      <w:pPr>
        <w:spacing w:after="120" w:line="276" w:lineRule="auto"/>
        <w:rPr>
          <w:rFonts w:ascii="Arial" w:cs="Arial" w:eastAsia="Arial" w:hAnsi="Arial"/>
        </w:rPr>
      </w:pPr>
      <w:r w:rsidDel="00000000" w:rsidR="00000000" w:rsidRPr="00000000">
        <w:rPr>
          <w:rFonts w:ascii="Arial" w:cs="Arial" w:eastAsia="Arial" w:hAnsi="Arial"/>
          <w:rtl w:val="0"/>
        </w:rPr>
        <w:t xml:space="preserve">This problem can be solved by hiring more faculty members. (Department chair and Faculty Dean: May 2024)</w:t>
      </w:r>
    </w:p>
    <w:p w:rsidR="00000000" w:rsidDel="00000000" w:rsidP="00000000" w:rsidRDefault="00000000" w:rsidRPr="00000000" w14:paraId="00000086">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120" w:line="276" w:lineRule="auto"/>
        <w:rPr>
          <w:rFonts w:ascii="Arial" w:cs="Arial" w:eastAsia="Arial" w:hAnsi="Arial"/>
        </w:rPr>
      </w:pPr>
      <w:r w:rsidDel="00000000" w:rsidR="00000000" w:rsidRPr="00000000">
        <w:rPr>
          <w:rFonts w:ascii="Arial" w:cs="Arial" w:eastAsia="Arial" w:hAnsi="Arial"/>
          <w:rtl w:val="0"/>
        </w:rPr>
        <w:t xml:space="preserve">Current Civil Engineering Graduate Courses:</w:t>
      </w:r>
    </w:p>
    <w:p w:rsidR="00000000" w:rsidDel="00000000" w:rsidP="00000000" w:rsidRDefault="00000000" w:rsidRPr="00000000" w14:paraId="00000088">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5014 – Stability of Structures</w:t>
      </w:r>
    </w:p>
    <w:p w:rsidR="00000000" w:rsidDel="00000000" w:rsidP="00000000" w:rsidRDefault="00000000" w:rsidRPr="00000000" w14:paraId="00000089">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5151 – Geoenviromental Engineering</w:t>
      </w:r>
    </w:p>
    <w:p w:rsidR="00000000" w:rsidDel="00000000" w:rsidP="00000000" w:rsidRDefault="00000000" w:rsidRPr="00000000" w14:paraId="0000008A">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5190 – Modeling Techniques in Water Resources</w:t>
      </w:r>
    </w:p>
    <w:p w:rsidR="00000000" w:rsidDel="00000000" w:rsidP="00000000" w:rsidRDefault="00000000" w:rsidRPr="00000000" w14:paraId="0000008B">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5191 – Stochastic and Statistical Methods in Water Resources</w:t>
      </w:r>
    </w:p>
    <w:p w:rsidR="00000000" w:rsidDel="00000000" w:rsidP="00000000" w:rsidRDefault="00000000" w:rsidRPr="00000000" w14:paraId="0000008C">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5390 – Computer Applications in Traffic Engineering</w:t>
      </w:r>
    </w:p>
    <w:p w:rsidR="00000000" w:rsidDel="00000000" w:rsidP="00000000" w:rsidRDefault="00000000" w:rsidRPr="00000000" w14:paraId="0000008D">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5391 – Highway Safety</w:t>
      </w:r>
    </w:p>
    <w:p w:rsidR="00000000" w:rsidDel="00000000" w:rsidP="00000000" w:rsidRDefault="00000000" w:rsidRPr="00000000" w14:paraId="0000008E">
      <w:pPr>
        <w:spacing w:after="120" w:line="276" w:lineRule="auto"/>
        <w:rPr>
          <w:rFonts w:ascii="Arial" w:cs="Arial" w:eastAsia="Arial" w:hAnsi="Arial"/>
        </w:rPr>
      </w:pPr>
      <w:r w:rsidDel="00000000" w:rsidR="00000000" w:rsidRPr="00000000">
        <w:rPr>
          <w:rFonts w:ascii="Arial" w:cs="Arial" w:eastAsia="Arial" w:hAnsi="Arial"/>
          <w:rtl w:val="0"/>
        </w:rPr>
        <w:t xml:space="preserve">Environmental Engineering 5451 – Physicochemical Treatment Processes</w:t>
      </w:r>
    </w:p>
    <w:p w:rsidR="00000000" w:rsidDel="00000000" w:rsidP="00000000" w:rsidRDefault="00000000" w:rsidRPr="00000000" w14:paraId="0000008F">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5590 – Advanced Foundation Engineering</w:t>
      </w:r>
    </w:p>
    <w:p w:rsidR="00000000" w:rsidDel="00000000" w:rsidP="00000000" w:rsidRDefault="00000000" w:rsidRPr="00000000" w14:paraId="00000090">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5591 – Soil Properties and Behaviour</w:t>
      </w:r>
    </w:p>
    <w:p w:rsidR="00000000" w:rsidDel="00000000" w:rsidP="00000000" w:rsidRDefault="00000000" w:rsidRPr="00000000" w14:paraId="00000091">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5592 – Finite Element Analysis for Civil Engineering Applications</w:t>
      </w:r>
    </w:p>
    <w:p w:rsidR="00000000" w:rsidDel="00000000" w:rsidP="00000000" w:rsidRDefault="00000000" w:rsidRPr="00000000" w14:paraId="00000092">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5593 – Structural Design for Fire Resistance</w:t>
      </w:r>
    </w:p>
    <w:p w:rsidR="00000000" w:rsidDel="00000000" w:rsidP="00000000" w:rsidRDefault="00000000" w:rsidRPr="00000000" w14:paraId="00000093">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5594 – Advanced Structural Steel Design</w:t>
      </w:r>
    </w:p>
    <w:p w:rsidR="00000000" w:rsidDel="00000000" w:rsidP="00000000" w:rsidRDefault="00000000" w:rsidRPr="00000000" w14:paraId="00000094">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5595 – Structural Dynamics and Earthquake Engineering</w:t>
      </w:r>
    </w:p>
    <w:p w:rsidR="00000000" w:rsidDel="00000000" w:rsidP="00000000" w:rsidRDefault="00000000" w:rsidRPr="00000000" w14:paraId="00000095">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5596 – Condition Assessment of Structures</w:t>
      </w:r>
    </w:p>
    <w:p w:rsidR="00000000" w:rsidDel="00000000" w:rsidP="00000000" w:rsidRDefault="00000000" w:rsidRPr="00000000" w14:paraId="00000096">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5597 – Advanced Rock Mechanics</w:t>
      </w:r>
    </w:p>
    <w:p w:rsidR="00000000" w:rsidDel="00000000" w:rsidP="00000000" w:rsidRDefault="00000000" w:rsidRPr="00000000" w14:paraId="00000097">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5598 – Computer-integrated Construction Engineering</w:t>
      </w:r>
    </w:p>
    <w:p w:rsidR="00000000" w:rsidDel="00000000" w:rsidP="00000000" w:rsidRDefault="00000000" w:rsidRPr="00000000" w14:paraId="00000098">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5691 – Advanced Topics in Civil Engineering</w:t>
      </w:r>
    </w:p>
    <w:p w:rsidR="00000000" w:rsidDel="00000000" w:rsidP="00000000" w:rsidRDefault="00000000" w:rsidRPr="00000000" w14:paraId="00000099">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5739 – Reading Course</w:t>
      </w:r>
    </w:p>
    <w:p w:rsidR="00000000" w:rsidDel="00000000" w:rsidP="00000000" w:rsidRDefault="00000000" w:rsidRPr="00000000" w14:paraId="0000009A">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5110 – Structural Reliability and Engineering Risk</w:t>
      </w:r>
    </w:p>
    <w:p w:rsidR="00000000" w:rsidDel="00000000" w:rsidP="00000000" w:rsidRDefault="00000000" w:rsidRPr="00000000" w14:paraId="0000009B">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5111 – Advanced Hydrology</w:t>
      </w:r>
    </w:p>
    <w:p w:rsidR="00000000" w:rsidDel="00000000" w:rsidP="00000000" w:rsidRDefault="00000000" w:rsidRPr="00000000" w14:paraId="0000009C">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5112 – Rehabilitation of Concrete Structures</w:t>
      </w:r>
    </w:p>
    <w:p w:rsidR="00000000" w:rsidDel="00000000" w:rsidP="00000000" w:rsidRDefault="00000000" w:rsidRPr="00000000" w14:paraId="0000009D">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5113 – Engineering Optimization and Artificial Intelligence</w:t>
      </w:r>
    </w:p>
    <w:p w:rsidR="00000000" w:rsidDel="00000000" w:rsidP="00000000" w:rsidRDefault="00000000" w:rsidRPr="00000000" w14:paraId="0000009E">
      <w:pPr>
        <w:spacing w:after="120" w:line="276" w:lineRule="auto"/>
        <w:rPr>
          <w:rFonts w:ascii="Arial" w:cs="Arial" w:eastAsia="Arial" w:hAnsi="Arial"/>
        </w:rPr>
      </w:pPr>
      <w:r w:rsidDel="00000000" w:rsidR="00000000" w:rsidRPr="00000000">
        <w:rPr>
          <w:rFonts w:ascii="Arial" w:cs="Arial" w:eastAsia="Arial" w:hAnsi="Arial"/>
          <w:rtl w:val="0"/>
        </w:rPr>
        <w:t xml:space="preserve">Civil Engineering 5114 – Advanced Wind Engineering</w:t>
      </w:r>
    </w:p>
    <w:p w:rsidR="00000000" w:rsidDel="00000000" w:rsidP="00000000" w:rsidRDefault="00000000" w:rsidRPr="00000000" w14:paraId="0000009F">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A0">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It is anticipated that the next hire in the Department will be in the Teaching Stream, which may partially alleviate relatively limited offering for MSc students. In addition, the Faculty will recommend systematic review of the program’s curriculum. </w:t>
      </w:r>
    </w:p>
    <w:p w:rsidR="00000000" w:rsidDel="00000000" w:rsidP="00000000" w:rsidRDefault="00000000" w:rsidRPr="00000000" w14:paraId="000000A1">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Dean of Graduate Studies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A2">
      <w:pPr>
        <w:spacing w:after="12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While limited teaching resources are an issue, the value of regular curriculum review is indisputable, particularly in the context of the university’s focus on curriculum sustainability.</w:t>
      </w:r>
    </w:p>
    <w:p w:rsidR="00000000" w:rsidDel="00000000" w:rsidP="00000000" w:rsidRDefault="00000000" w:rsidRPr="00000000" w14:paraId="000000A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4">
      <w:pPr>
        <w:pStyle w:val="Heading2"/>
        <w:spacing w:after="120" w:before="0" w:line="276" w:lineRule="auto"/>
        <w:rPr/>
      </w:pPr>
      <w:r w:rsidDel="00000000" w:rsidR="00000000" w:rsidRPr="00000000">
        <w:rPr>
          <w:rtl w:val="0"/>
        </w:rPr>
        <w:t xml:space="preserve">Clarifications</w:t>
      </w:r>
    </w:p>
    <w:p w:rsidR="00000000" w:rsidDel="00000000" w:rsidP="00000000" w:rsidRDefault="00000000" w:rsidRPr="00000000" w14:paraId="000000A5">
      <w:pPr>
        <w:ind w:right="408"/>
        <w:rPr>
          <w:rFonts w:ascii="Arial" w:cs="Arial" w:eastAsia="Arial" w:hAnsi="Arial"/>
          <w:b w:val="1"/>
          <w:bCs w:val="1"/>
        </w:rPr>
      </w:pPr>
      <w:r w:rsidDel="00000000" w:rsidR="00000000" w:rsidRPr="00000000">
        <w:rPr>
          <w:rFonts w:ascii="Arial" w:cs="Arial" w:eastAsia="Arial" w:hAnsi="Arial"/>
          <w:b w:val="1"/>
          <w:bCs w:val="1"/>
          <w:rtl w:val="0"/>
        </w:rPr>
        <w:t xml:space="preserve">The review team was provided a two-day virtual visit and was given a virtual tour of the labs used by both undergraduate and graduate students. The review team report suggested on Page 13: “e. Despite lacking space, laboratories are well-equipped to support student learning and research. Specially, the CFI-funded state-of-the-art Fire Testing and Research Laboratory (LUFTRL) provides a platform for collaborative research to generate innovative solutions by studying the fire resistance of various construction materials and building assemblies.” </w:t>
      </w:r>
    </w:p>
    <w:p w:rsidR="00000000" w:rsidDel="00000000" w:rsidP="00000000" w:rsidRDefault="00000000" w:rsidRPr="00000000" w14:paraId="000000A6">
      <w:pPr>
        <w:ind w:right="408"/>
        <w:rPr>
          <w:rFonts w:ascii="Arial" w:cs="Arial" w:eastAsia="Arial" w:hAnsi="Arial"/>
        </w:rPr>
      </w:pPr>
      <w:r w:rsidDel="00000000" w:rsidR="00000000" w:rsidRPr="00000000">
        <w:rPr>
          <w:rtl w:val="0"/>
        </w:rPr>
      </w:r>
    </w:p>
    <w:p w:rsidR="00000000" w:rsidDel="00000000" w:rsidP="00000000" w:rsidRDefault="00000000" w:rsidRPr="00000000" w14:paraId="000000A7">
      <w:pPr>
        <w:ind w:right="408"/>
        <w:rPr>
          <w:rFonts w:ascii="Arial" w:cs="Arial" w:eastAsia="Arial" w:hAnsi="Arial"/>
        </w:rPr>
      </w:pPr>
      <w:r w:rsidDel="00000000" w:rsidR="00000000" w:rsidRPr="00000000">
        <w:rPr>
          <w:rFonts w:ascii="Arial" w:cs="Arial" w:eastAsia="Arial" w:hAnsi="Arial"/>
          <w:b w:val="1"/>
          <w:bCs w:val="1"/>
          <w:rtl w:val="0"/>
        </w:rPr>
        <w:t xml:space="preserve">Academic Unit response</w:t>
      </w:r>
      <w:r w:rsidDel="00000000" w:rsidR="00000000" w:rsidRPr="00000000">
        <w:rPr>
          <w:rFonts w:ascii="Arial" w:cs="Arial" w:eastAsia="Arial" w:hAnsi="Arial"/>
          <w:rtl w:val="0"/>
        </w:rPr>
        <w:t xml:space="preserve">:</w:t>
      </w:r>
    </w:p>
    <w:p w:rsidR="00000000" w:rsidDel="00000000" w:rsidP="00000000" w:rsidRDefault="00000000" w:rsidRPr="00000000" w14:paraId="000000A8">
      <w:pPr>
        <w:ind w:right="408"/>
        <w:rPr>
          <w:rFonts w:ascii="Arial" w:cs="Arial" w:eastAsia="Arial" w:hAnsi="Arial"/>
        </w:rPr>
      </w:pPr>
      <w:r w:rsidDel="00000000" w:rsidR="00000000" w:rsidRPr="00000000">
        <w:rPr>
          <w:rFonts w:ascii="Arial" w:cs="Arial" w:eastAsia="Arial" w:hAnsi="Arial"/>
          <w:rtl w:val="0"/>
        </w:rPr>
        <w:t xml:space="preserve">The most urgent and considerable limitation is that a few faculty members don’t have space for their graduate students to conduct research, even for faculty members who are active in research and graduate students’ supervision.</w:t>
      </w:r>
    </w:p>
    <w:p w:rsidR="00000000" w:rsidDel="00000000" w:rsidP="00000000" w:rsidRDefault="00000000" w:rsidRPr="00000000" w14:paraId="000000A9">
      <w:pPr>
        <w:ind w:right="408"/>
        <w:rPr>
          <w:rFonts w:ascii="Arial" w:cs="Arial" w:eastAsia="Arial" w:hAnsi="Arial"/>
        </w:rPr>
      </w:pPr>
      <w:r w:rsidDel="00000000" w:rsidR="00000000" w:rsidRPr="00000000">
        <w:rPr>
          <w:rFonts w:ascii="Arial" w:cs="Arial" w:eastAsia="Arial" w:hAnsi="Arial"/>
          <w:rtl w:val="0"/>
        </w:rPr>
        <w:t xml:space="preserve">This lack of space will negatively affect the faculty members’ initiatives regarding research and graduate supervision; reduce the interaction between professors and MSc students and thus greatly decrease the quality of our MSc program.</w:t>
      </w:r>
    </w:p>
    <w:p w:rsidR="00000000" w:rsidDel="00000000" w:rsidP="00000000" w:rsidRDefault="00000000" w:rsidRPr="00000000" w14:paraId="000000AA">
      <w:pPr>
        <w:ind w:right="408"/>
        <w:rPr>
          <w:rFonts w:ascii="Arial" w:cs="Arial" w:eastAsia="Arial" w:hAnsi="Arial"/>
        </w:rPr>
      </w:pPr>
      <w:r w:rsidDel="00000000" w:rsidR="00000000" w:rsidRPr="00000000">
        <w:rPr>
          <w:rtl w:val="0"/>
        </w:rPr>
      </w:r>
    </w:p>
    <w:p w:rsidR="00000000" w:rsidDel="00000000" w:rsidP="00000000" w:rsidRDefault="00000000" w:rsidRPr="00000000" w14:paraId="000000AB">
      <w:pPr>
        <w:ind w:right="408"/>
        <w:rPr>
          <w:rFonts w:ascii="Arial" w:cs="Arial" w:eastAsia="Arial" w:hAnsi="Arial"/>
        </w:rPr>
      </w:pPr>
      <w:r w:rsidDel="00000000" w:rsidR="00000000" w:rsidRPr="00000000">
        <w:rPr>
          <w:rFonts w:ascii="Arial" w:cs="Arial" w:eastAsia="Arial" w:hAnsi="Arial"/>
          <w:b w:val="1"/>
          <w:bCs w:val="1"/>
          <w:rtl w:val="0"/>
        </w:rPr>
        <w:t xml:space="preserve">Academic Dean response</w:t>
      </w:r>
      <w:r w:rsidDel="00000000" w:rsidR="00000000" w:rsidRPr="00000000">
        <w:rPr>
          <w:rFonts w:ascii="Arial" w:cs="Arial" w:eastAsia="Arial" w:hAnsi="Arial"/>
          <w:rtl w:val="0"/>
        </w:rPr>
        <w:t xml:space="preserve">:</w:t>
      </w:r>
    </w:p>
    <w:p w:rsidR="00000000" w:rsidDel="00000000" w:rsidP="00000000" w:rsidRDefault="00000000" w:rsidRPr="00000000" w14:paraId="000000AC">
      <w:pPr>
        <w:ind w:right="408"/>
        <w:rPr>
          <w:rFonts w:ascii="Arial" w:cs="Arial" w:eastAsia="Arial" w:hAnsi="Arial"/>
        </w:rPr>
      </w:pPr>
      <w:r w:rsidDel="00000000" w:rsidR="00000000" w:rsidRPr="00000000">
        <w:rPr>
          <w:rFonts w:ascii="Arial" w:cs="Arial" w:eastAsia="Arial" w:hAnsi="Arial"/>
          <w:rtl w:val="0"/>
        </w:rPr>
        <w:t xml:space="preserve">As per my response above, it is anticipated that relevant space will be identified for both researchers and graduate students after the completion of the research space audit. However, the Department should strive for their own efficiencies by sharing available research space and equipment, as well as collaborating on research projects. A good example is the CFI lab mentioned by the visiting team. </w:t>
      </w:r>
    </w:p>
    <w:p w:rsidR="00000000" w:rsidDel="00000000" w:rsidP="00000000" w:rsidRDefault="00000000" w:rsidRPr="00000000" w14:paraId="000000AD">
      <w:pPr>
        <w:ind w:right="408"/>
        <w:rPr>
          <w:rFonts w:ascii="Arial" w:cs="Arial" w:eastAsia="Arial" w:hAnsi="Arial"/>
        </w:rPr>
      </w:pPr>
      <w:r w:rsidDel="00000000" w:rsidR="00000000" w:rsidRPr="00000000">
        <w:rPr>
          <w:rtl w:val="0"/>
        </w:rPr>
      </w:r>
    </w:p>
    <w:p w:rsidR="00000000" w:rsidDel="00000000" w:rsidP="00000000" w:rsidRDefault="00000000" w:rsidRPr="00000000" w14:paraId="000000AE">
      <w:pPr>
        <w:ind w:right="408"/>
        <w:rPr>
          <w:rFonts w:ascii="Arial" w:cs="Arial" w:eastAsia="Arial" w:hAnsi="Arial"/>
        </w:rPr>
      </w:pPr>
      <w:r w:rsidDel="00000000" w:rsidR="00000000" w:rsidRPr="00000000">
        <w:rPr>
          <w:rFonts w:ascii="Arial" w:cs="Arial" w:eastAsia="Arial" w:hAnsi="Arial"/>
          <w:b w:val="1"/>
          <w:bCs w:val="1"/>
          <w:rtl w:val="0"/>
        </w:rPr>
        <w:t xml:space="preserve">Dean of Graduate Studies response</w:t>
      </w:r>
      <w:r w:rsidDel="00000000" w:rsidR="00000000" w:rsidRPr="00000000">
        <w:rPr>
          <w:rFonts w:ascii="Arial" w:cs="Arial" w:eastAsia="Arial" w:hAnsi="Arial"/>
          <w:rtl w:val="0"/>
        </w:rPr>
        <w:t xml:space="preserve">:</w:t>
      </w:r>
    </w:p>
    <w:p w:rsidR="00000000" w:rsidDel="00000000" w:rsidP="00000000" w:rsidRDefault="00000000" w:rsidRPr="00000000" w14:paraId="000000AF">
      <w:pPr>
        <w:ind w:right="408"/>
        <w:rPr>
          <w:rFonts w:ascii="Arial" w:cs="Arial" w:eastAsia="Arial" w:hAnsi="Arial"/>
        </w:rPr>
        <w:sectPr>
          <w:type w:val="nextPage"/>
          <w:pgSz w:h="15840" w:w="12240" w:orient="portrait"/>
          <w:pgMar w:bottom="1440" w:top="1440" w:left="1440" w:right="1440" w:header="720" w:footer="720"/>
        </w:sectPr>
      </w:pPr>
      <w:r w:rsidDel="00000000" w:rsidR="00000000" w:rsidRPr="00000000">
        <w:rPr>
          <w:rFonts w:ascii="Arial" w:cs="Arial" w:eastAsia="Arial" w:hAnsi="Arial"/>
          <w:rtl w:val="0"/>
        </w:rPr>
        <w:t xml:space="preserve">Space issues are not the purview of the Faculty of Graduate Studies, but I agree with the concerns expressed by the program and with the response of the Dean of Engineering.</w:t>
      </w:r>
    </w:p>
    <w:p w:rsidR="00000000" w:rsidDel="00000000" w:rsidP="00000000" w:rsidRDefault="00000000" w:rsidRPr="00000000" w14:paraId="000000B0">
      <w:pPr>
        <w:pStyle w:val="Heading2"/>
        <w:rPr/>
      </w:pPr>
      <w:r w:rsidDel="00000000" w:rsidR="00000000" w:rsidRPr="00000000">
        <w:rPr>
          <w:rtl w:val="0"/>
        </w:rPr>
        <w:t xml:space="preserve">Implementation Plan</w:t>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Implementation Plan (Part A): Departmental Responsibilities</w:t>
      </w:r>
    </w:p>
    <w:tbl>
      <w:tblPr>
        <w:tblStyle w:val="Table1"/>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2"/>
        <w:gridCol w:w="5807"/>
        <w:gridCol w:w="2053"/>
        <w:gridCol w:w="1988"/>
        <w:tblGridChange w:id="0">
          <w:tblGrid>
            <w:gridCol w:w="3102"/>
            <w:gridCol w:w="5807"/>
            <w:gridCol w:w="2053"/>
            <w:gridCol w:w="1988"/>
          </w:tblGrid>
        </w:tblGridChange>
      </w:tblGrid>
      <w:tr>
        <w:trPr>
          <w:cantSplit w:val="0"/>
          <w:trHeight w:val="964" w:hRule="atLeast"/>
          <w:tblHeader w:val="0"/>
        </w:trPr>
        <w:tc>
          <w:tcP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color w:val="292526"/>
                <w:sz w:val="28"/>
                <w:szCs w:val="28"/>
                <w:rtl w:val="0"/>
              </w:rPr>
              <w:t xml:space="preserve">Recommendation</w:t>
            </w:r>
            <w:r w:rsidDel="00000000" w:rsidR="00000000" w:rsidRPr="00000000">
              <w:rPr>
                <w:rtl w:val="0"/>
              </w:rPr>
            </w:r>
          </w:p>
        </w:tc>
        <w:tc>
          <w:tcPr>
            <w:vAlign w:val="cente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color w:val="292526"/>
                <w:sz w:val="28"/>
                <w:szCs w:val="28"/>
                <w:rtl w:val="0"/>
              </w:rPr>
              <w:t xml:space="preserve">Proposed Follow-up </w:t>
            </w:r>
            <w:r w:rsidDel="00000000" w:rsidR="00000000" w:rsidRPr="00000000">
              <w:rPr>
                <w:rtl w:val="0"/>
              </w:rPr>
            </w:r>
          </w:p>
        </w:tc>
        <w:tc>
          <w:tcPr>
            <w:vAlign w:val="cente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color w:val="292526"/>
                <w:sz w:val="28"/>
                <w:szCs w:val="28"/>
                <w:rtl w:val="0"/>
              </w:rPr>
              <w:t xml:space="preserve">Responsibility*</w:t>
            </w:r>
            <w:r w:rsidDel="00000000" w:rsidR="00000000" w:rsidRPr="00000000">
              <w:rPr>
                <w:rtl w:val="0"/>
              </w:rPr>
            </w:r>
          </w:p>
        </w:tc>
        <w:tc>
          <w:tcP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color w:val="292526"/>
                <w:sz w:val="28"/>
                <w:szCs w:val="28"/>
                <w:rtl w:val="0"/>
              </w:rPr>
              <w:t xml:space="preserve">Timeline</w:t>
            </w:r>
            <w:r w:rsidDel="00000000" w:rsidR="00000000" w:rsidRPr="00000000">
              <w:rPr>
                <w:rtl w:val="0"/>
              </w:rPr>
            </w:r>
          </w:p>
        </w:tc>
      </w:tr>
      <w:tr>
        <w:trPr>
          <w:cantSplit w:val="0"/>
          <w:trHeight w:val="964" w:hRule="atLeast"/>
          <w:tblHeader w:val="0"/>
        </w:trPr>
        <w:tc>
          <w:tcP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Thesis-based Master Student Research Progress Monitoring</w:t>
            </w:r>
          </w:p>
        </w:tc>
        <w:tc>
          <w:tcPr>
            <w:vAlign w:val="cente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Implement Graduate Research Progress Form; use seminar (ENGI 5012) as formal checkpoint; conduct semesterly minimum academic standing reviews.</w:t>
            </w:r>
          </w:p>
        </w:tc>
        <w:tc>
          <w:tcPr>
            <w:vAlign w:val="center"/>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Program Coordinator </w:t>
            </w:r>
          </w:p>
        </w:tc>
        <w:tc>
          <w:tcP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Initial </w:t>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Winter 2026</w:t>
            </w:r>
          </w:p>
        </w:tc>
      </w:tr>
      <w:tr>
        <w:trPr>
          <w:cantSplit w:val="0"/>
          <w:trHeight w:val="964" w:hRule="atLeast"/>
          <w:tblHeader w:val="0"/>
        </w:trPr>
        <w:tc>
          <w:tcPr>
            <w:vAlign w:val="center"/>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Human Resources Support</w:t>
            </w:r>
          </w:p>
        </w:tc>
        <w:tc>
          <w:tcP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Request one additional administrative staff, one new tenure-track faculty position, and one teaching-stream faculty position to expand research and teaching capacity.</w:t>
            </w:r>
          </w:p>
        </w:tc>
        <w:tc>
          <w:tcPr>
            <w:vAlign w:val="center"/>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Department Chair</w:t>
            </w:r>
          </w:p>
        </w:tc>
        <w:tc>
          <w:tcPr>
            <w:vAlign w:val="center"/>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Request Fall 2026 – 2026–27 Academic Year</w:t>
            </w:r>
          </w:p>
        </w:tc>
      </w:tr>
      <w:tr>
        <w:trPr>
          <w:cantSplit w:val="0"/>
          <w:trHeight w:val="964" w:hRule="atLeast"/>
          <w:tblHeader w:val="0"/>
        </w:trPr>
        <w:tc>
          <w:tcPr>
            <w:vAlign w:val="cente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Graduate Recruitment &amp; Program Enhancement</w:t>
            </w:r>
          </w:p>
        </w:tc>
        <w:tc>
          <w:tcPr>
            <w:vAlign w:val="center"/>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Expand domestic recruitment efforts; organize annual info sessions; enhance program website; prepare proposal to re-designate course-based MSc.</w:t>
            </w:r>
          </w:p>
        </w:tc>
        <w:tc>
          <w:tcPr>
            <w:vAlign w:val="center"/>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Department Chair &amp; Program Coordinator</w:t>
            </w:r>
          </w:p>
        </w:tc>
        <w:tc>
          <w:tcP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Initial </w:t>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Winter 2026</w:t>
            </w:r>
          </w:p>
        </w:tc>
      </w:tr>
      <w:tr>
        <w:trPr>
          <w:cantSplit w:val="0"/>
          <w:trHeight w:val="964" w:hRule="atLeast"/>
          <w:tblHeader w:val="0"/>
        </w:trPr>
        <w:tc>
          <w:tcPr>
            <w:vAlign w:val="center"/>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Governance &amp; Participation</w:t>
            </w:r>
          </w:p>
        </w:tc>
        <w:tc>
          <w:tcPr>
            <w:vAlign w:val="center"/>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color w:val="222222"/>
                <w:highlight w:val="white"/>
                <w:rtl w:val="0"/>
              </w:rPr>
              <w:t xml:space="preserve">Include student and staff representatives in departmental governance; form Master Student Committee for Civil Engineering.</w:t>
            </w:r>
            <w:r w:rsidDel="00000000" w:rsidR="00000000" w:rsidRPr="00000000">
              <w:rPr>
                <w:rtl w:val="0"/>
              </w:rPr>
            </w:r>
          </w:p>
        </w:tc>
        <w:tc>
          <w:tcPr>
            <w:vAlign w:val="center"/>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Department Chair &amp; Program Coordinator</w:t>
            </w:r>
          </w:p>
        </w:tc>
        <w:tc>
          <w:tcPr>
            <w:vAlign w:val="cente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Initial </w:t>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Winter 2026</w:t>
            </w:r>
          </w:p>
        </w:tc>
      </w:tr>
      <w:tr>
        <w:trPr>
          <w:cantSplit w:val="0"/>
          <w:trHeight w:val="964" w:hRule="atLeast"/>
          <w:tblHeader w:val="0"/>
        </w:trPr>
        <w:tc>
          <w:tcPr>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Program-Specific Scholarships</w:t>
            </w:r>
          </w:p>
        </w:tc>
        <w:tc>
          <w:tcPr>
            <w:vAlign w:val="center"/>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Develop proposal for Civil Engineering scholarship fund; pursue industry/government sponsorships and FGS funding support.</w:t>
            </w:r>
          </w:p>
        </w:tc>
        <w:tc>
          <w:tcPr>
            <w:vAlign w:val="cente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Department Chair &amp; Program Coordinator</w:t>
            </w:r>
          </w:p>
        </w:tc>
        <w:tc>
          <w:tcPr>
            <w:vAlign w:val="cente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Initial </w:t>
            </w:r>
          </w:p>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Fall 2026</w:t>
            </w:r>
          </w:p>
        </w:tc>
      </w:tr>
      <w:tr>
        <w:trPr>
          <w:cantSplit w:val="0"/>
          <w:trHeight w:val="964" w:hRule="atLeast"/>
          <w:tblHeader w:val="0"/>
        </w:trPr>
        <w:tc>
          <w:tcPr>
            <w:vAlign w:val="center"/>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Diversity &amp; Inclusion Scholarships</w:t>
            </w:r>
          </w:p>
        </w:tc>
        <w:tc>
          <w:tcP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Collaborate with Indigenous Education, FGS, and Dean to design targeted awards for Indigenous and underrepresented students.</w:t>
            </w:r>
          </w:p>
        </w:tc>
        <w:tc>
          <w:tcPr>
            <w:vAlign w:val="cente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Department Chair &amp; Program Coordinator</w:t>
            </w:r>
          </w:p>
        </w:tc>
        <w:tc>
          <w:tcPr>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Initial </w:t>
            </w:r>
          </w:p>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Fall 2026</w:t>
            </w:r>
          </w:p>
        </w:tc>
      </w:tr>
      <w:tr>
        <w:trPr>
          <w:cantSplit w:val="0"/>
          <w:trHeight w:val="964" w:hRule="atLeast"/>
          <w:tblHeader w:val="0"/>
        </w:trPr>
        <w:tc>
          <w:tcP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Curriculum Review &amp; Sustainability</w:t>
            </w:r>
          </w:p>
        </w:tc>
        <w:tc>
          <w:tcPr>
            <w:vAlign w:val="cente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Conduct systematic review of 23 graduate courses; assess ECIV-5691 usage.</w:t>
            </w:r>
          </w:p>
        </w:tc>
        <w:tc>
          <w:tcPr>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Program Coordinator</w:t>
            </w:r>
          </w:p>
        </w:tc>
        <w:tc>
          <w:tcPr>
            <w:vAlign w:val="center"/>
          </w:tcPr>
          <w:p w:rsidR="00000000" w:rsidDel="00000000" w:rsidP="00000000" w:rsidRDefault="00000000" w:rsidRPr="00000000" w14:paraId="000000D6">
            <w:pPr>
              <w:rPr>
                <w:rFonts w:ascii="Arial" w:cs="Arial" w:eastAsia="Arial" w:hAnsi="Arial"/>
              </w:rPr>
            </w:pPr>
            <w:r w:rsidDel="00000000" w:rsidR="00000000" w:rsidRPr="00000000">
              <w:rPr>
                <w:rFonts w:ascii="Arial" w:cs="Arial" w:eastAsia="Arial" w:hAnsi="Arial"/>
                <w:rtl w:val="0"/>
              </w:rPr>
              <w:t xml:space="preserve">Fall 2025 – 2025–26 Academic Year</w:t>
            </w:r>
          </w:p>
        </w:tc>
      </w:tr>
    </w:tbl>
    <w:p w:rsidR="00000000" w:rsidDel="00000000" w:rsidP="00000000" w:rsidRDefault="00000000" w:rsidRPr="00000000" w14:paraId="000000D7">
      <w:pPr>
        <w:jc w:val="both"/>
        <w:rPr>
          <w:rFonts w:ascii="Arial" w:cs="Arial" w:eastAsia="Arial" w:hAnsi="Arial"/>
        </w:rPr>
      </w:pPr>
      <w:r w:rsidDel="00000000" w:rsidR="00000000" w:rsidRPr="00000000">
        <w:rPr>
          <w:rFonts w:ascii="Arial" w:cs="Arial" w:eastAsia="Arial" w:hAnsi="Arial"/>
          <w:rtl w:val="0"/>
        </w:rPr>
        <w:t xml:space="preserve">Implementation Plan (Part B): Decanal &amp; Administration Responsibilities</w:t>
      </w:r>
    </w:p>
    <w:p w:rsidR="00000000" w:rsidDel="00000000" w:rsidP="00000000" w:rsidRDefault="00000000" w:rsidRPr="00000000" w14:paraId="000000D8">
      <w:pPr>
        <w:jc w:val="both"/>
        <w:rPr>
          <w:rFonts w:ascii="Arial" w:cs="Arial" w:eastAsia="Arial" w:hAnsi="Arial"/>
        </w:rPr>
      </w:pPr>
      <w:r w:rsidDel="00000000" w:rsidR="00000000" w:rsidRPr="00000000">
        <w:rPr>
          <w:rtl w:val="0"/>
        </w:rPr>
      </w:r>
    </w:p>
    <w:tbl>
      <w:tblPr>
        <w:tblStyle w:val="Table2"/>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5"/>
        <w:gridCol w:w="6323"/>
        <w:gridCol w:w="2053"/>
        <w:gridCol w:w="1419"/>
        <w:tblGridChange w:id="0">
          <w:tblGrid>
            <w:gridCol w:w="3155"/>
            <w:gridCol w:w="6323"/>
            <w:gridCol w:w="2053"/>
            <w:gridCol w:w="1419"/>
          </w:tblGrid>
        </w:tblGridChange>
      </w:tblGrid>
      <w:tr>
        <w:trPr>
          <w:cantSplit w:val="0"/>
          <w:tblHeader w:val="0"/>
        </w:trPr>
        <w:tc>
          <w:tcP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color w:val="292526"/>
                <w:sz w:val="28"/>
                <w:szCs w:val="28"/>
                <w:rtl w:val="0"/>
              </w:rPr>
              <w:t xml:space="preserve">Recommendation</w:t>
            </w:r>
            <w:r w:rsidDel="00000000" w:rsidR="00000000" w:rsidRPr="00000000">
              <w:rPr>
                <w:rtl w:val="0"/>
              </w:rPr>
            </w:r>
          </w:p>
        </w:tc>
        <w:tc>
          <w:tcPr>
            <w:vAlign w:val="center"/>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color w:val="292526"/>
                <w:sz w:val="28"/>
                <w:szCs w:val="28"/>
                <w:rtl w:val="0"/>
              </w:rPr>
              <w:t xml:space="preserve">Proposed Follow-up </w:t>
            </w:r>
            <w:r w:rsidDel="00000000" w:rsidR="00000000" w:rsidRPr="00000000">
              <w:rPr>
                <w:rtl w:val="0"/>
              </w:rPr>
            </w:r>
          </w:p>
        </w:tc>
        <w:tc>
          <w:tcPr>
            <w:vAlign w:val="center"/>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color w:val="292526"/>
                <w:sz w:val="28"/>
                <w:szCs w:val="28"/>
                <w:rtl w:val="0"/>
              </w:rPr>
              <w:t xml:space="preserve">Responsibility*</w:t>
            </w:r>
            <w:r w:rsidDel="00000000" w:rsidR="00000000" w:rsidRPr="00000000">
              <w:rPr>
                <w:rtl w:val="0"/>
              </w:rPr>
            </w:r>
          </w:p>
        </w:tc>
        <w:tc>
          <w:tcP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color w:val="292526"/>
                <w:sz w:val="28"/>
                <w:szCs w:val="28"/>
                <w:rtl w:val="0"/>
              </w:rPr>
              <w:t xml:space="preserve">Timeline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Human Resources Support</w:t>
            </w:r>
          </w:p>
        </w:tc>
        <w:tc>
          <w:tcPr>
            <w:vAlign w:val="cente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Review and approve requests for additional staff and faculty positions through Faculty and University budget process.</w:t>
            </w:r>
          </w:p>
        </w:tc>
        <w:tc>
          <w:tcPr>
            <w:vAlign w:val="center"/>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Dean</w:t>
            </w:r>
          </w:p>
        </w:tc>
        <w:tc>
          <w:tcPr>
            <w:vAlign w:val="cente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Initial Fall 2026</w:t>
            </w:r>
          </w:p>
        </w:tc>
      </w:tr>
      <w:tr>
        <w:trPr>
          <w:cantSplit w:val="0"/>
          <w:tblHeader w:val="0"/>
        </w:trPr>
        <w:tc>
          <w:tcP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Graduate Recruitment &amp; Program Enhancement</w:t>
            </w:r>
          </w:p>
        </w:tc>
        <w:tc>
          <w:tcPr>
            <w:vAlign w:val="cente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Support domestic recruitment campaign and program re-designation; promote program through Faculty channels.</w:t>
            </w:r>
          </w:p>
        </w:tc>
        <w:tc>
          <w:tcPr>
            <w:vAlign w:val="center"/>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Dean</w:t>
            </w:r>
          </w:p>
        </w:tc>
        <w:tc>
          <w:tcPr>
            <w:vAlign w:val="cente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Initial </w:t>
            </w:r>
          </w:p>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Winter 2026</w:t>
            </w:r>
          </w:p>
        </w:tc>
      </w:tr>
      <w:tr>
        <w:trPr>
          <w:cantSplit w:val="0"/>
          <w:tblHeader w:val="0"/>
        </w:trPr>
        <w:tc>
          <w:tcPr>
            <w:vAlign w:val="center"/>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Program-Specific Scholarships</w:t>
            </w:r>
          </w:p>
        </w:tc>
        <w:tc>
          <w:tcPr>
            <w:vAlign w:val="cente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Allocate additional FGS funding packages; endorse new Civil Engineering scholarship framework.</w:t>
            </w:r>
          </w:p>
        </w:tc>
        <w:tc>
          <w:tcPr>
            <w:vAlign w:val="cente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Dean of Engineering &amp; FGS</w:t>
            </w:r>
          </w:p>
        </w:tc>
        <w:tc>
          <w:tcPr>
            <w:vAlign w:val="center"/>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Initial Fall 2026</w:t>
            </w:r>
          </w:p>
        </w:tc>
      </w:tr>
      <w:tr>
        <w:trPr>
          <w:cantSplit w:val="0"/>
          <w:tblHeader w:val="0"/>
        </w:trPr>
        <w:tc>
          <w:tcPr>
            <w:vAlign w:val="cente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Diversity &amp; Inclusion Scholarships</w:t>
            </w:r>
          </w:p>
        </w:tc>
        <w:tc>
          <w:tcPr>
            <w:vAlign w:val="center"/>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Contribute funds and promote targeted scholarships once framework and criteria are finalized by Department.</w:t>
            </w:r>
          </w:p>
        </w:tc>
        <w:tc>
          <w:tcPr>
            <w:vAlign w:val="center"/>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Dean of Engineering &amp; FGS</w:t>
            </w:r>
          </w:p>
        </w:tc>
        <w:tc>
          <w:tcPr>
            <w:vAlign w:val="center"/>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Initial Fall 2026</w:t>
            </w:r>
          </w:p>
        </w:tc>
      </w:tr>
    </w:tbl>
    <w:p w:rsidR="00000000" w:rsidDel="00000000" w:rsidP="00000000" w:rsidRDefault="00000000" w:rsidRPr="00000000" w14:paraId="000000EE">
      <w:pPr>
        <w:jc w:val="both"/>
        <w:rPr>
          <w:rFonts w:ascii="Arial" w:cs="Arial" w:eastAsia="Arial" w:hAnsi="Arial"/>
        </w:rPr>
      </w:pPr>
      <w:r w:rsidDel="00000000" w:rsidR="00000000" w:rsidRPr="00000000">
        <w:rPr>
          <w:rtl w:val="0"/>
        </w:rPr>
      </w:r>
    </w:p>
    <w:p w:rsidR="00000000" w:rsidDel="00000000" w:rsidP="00000000" w:rsidRDefault="00000000" w:rsidRPr="00000000" w14:paraId="000000EF">
      <w:pPr>
        <w:jc w:val="both"/>
        <w:rPr>
          <w:rFonts w:ascii="Arial" w:cs="Arial" w:eastAsia="Arial" w:hAnsi="Arial"/>
          <w:b w:val="1"/>
          <w:bCs w:val="1"/>
          <w:color w:val="548dd4"/>
        </w:rPr>
      </w:pPr>
      <w:r w:rsidDel="00000000" w:rsidR="00000000" w:rsidRPr="00000000">
        <w:rPr>
          <w:rFonts w:ascii="Arial" w:cs="Arial" w:eastAsia="Arial" w:hAnsi="Arial"/>
          <w:rtl w:val="0"/>
        </w:rPr>
        <w:t xml:space="preserve">*The Dean of the Faculty, in consultation with the Department Chair and Program Coordinator, shall be responsible for monitoring the Implementation Plan. The details of progress made will be presented in the Deans’ Annual Reports and filed in the Office of the Provost and Vice-President (Academic).</w:t>
      </w:r>
      <w:r w:rsidDel="00000000" w:rsidR="00000000" w:rsidRPr="00000000">
        <w:rPr>
          <w:rtl w:val="0"/>
        </w:rPr>
      </w:r>
    </w:p>
    <w:p w:rsidR="00000000" w:rsidDel="00000000" w:rsidP="00000000" w:rsidRDefault="00000000" w:rsidRPr="00000000" w14:paraId="000000F0">
      <w:pPr>
        <w:keepNext w:val="1"/>
        <w:spacing w:after="240" w:before="360" w:lineRule="auto"/>
        <w:rPr>
          <w:rFonts w:ascii="Arial" w:cs="Arial" w:eastAsia="Arial" w:hAnsi="Arial"/>
          <w:b w:val="1"/>
          <w:bCs w:val="1"/>
          <w:color w:val="548dd4"/>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MSc Civil Engineering 2023</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74" w:hanging="359.99999999999994"/>
      </w:pPr>
      <w:rPr>
        <w:rFonts w:ascii="Noto Sans Symbols" w:cs="Noto Sans Symbols" w:eastAsia="Noto Sans Symbols" w:hAnsi="Noto Sans Symbols"/>
        <w:b w:val="0"/>
        <w:bCs w:val="0"/>
        <w:i w:val="0"/>
        <w:iCs w:val="0"/>
        <w:sz w:val="24"/>
        <w:szCs w:val="24"/>
      </w:rPr>
    </w:lvl>
    <w:lvl w:ilvl="1">
      <w:start w:val="1"/>
      <w:numFmt w:val="lowerLetter"/>
      <w:lvlText w:val="%2."/>
      <w:lvlJc w:val="left"/>
      <w:pPr>
        <w:ind w:left="1494" w:hanging="360"/>
      </w:pPr>
      <w:rPr>
        <w:rFonts w:ascii="Arial" w:cs="Arial" w:eastAsia="Arial" w:hAnsi="Arial"/>
        <w:b w:val="0"/>
        <w:bCs w:val="0"/>
        <w:i w:val="0"/>
        <w:iCs w:val="0"/>
        <w:sz w:val="24"/>
        <w:szCs w:val="24"/>
      </w:rPr>
    </w:lvl>
    <w:lvl w:ilvl="2">
      <w:start w:val="0"/>
      <w:numFmt w:val="bullet"/>
      <w:lvlText w:val="•"/>
      <w:lvlJc w:val="left"/>
      <w:pPr>
        <w:ind w:left="2453" w:hanging="360"/>
      </w:pPr>
      <w:rPr/>
    </w:lvl>
    <w:lvl w:ilvl="3">
      <w:start w:val="0"/>
      <w:numFmt w:val="bullet"/>
      <w:lvlText w:val="•"/>
      <w:lvlJc w:val="left"/>
      <w:pPr>
        <w:ind w:left="3406" w:hanging="360"/>
      </w:pPr>
      <w:rPr/>
    </w:lvl>
    <w:lvl w:ilvl="4">
      <w:start w:val="0"/>
      <w:numFmt w:val="bullet"/>
      <w:lvlText w:val="•"/>
      <w:lvlJc w:val="left"/>
      <w:pPr>
        <w:ind w:left="4360" w:hanging="360"/>
      </w:pPr>
      <w:rPr/>
    </w:lvl>
    <w:lvl w:ilvl="5">
      <w:start w:val="0"/>
      <w:numFmt w:val="bullet"/>
      <w:lvlText w:val="•"/>
      <w:lvlJc w:val="left"/>
      <w:pPr>
        <w:ind w:left="5313" w:hanging="360"/>
      </w:pPr>
      <w:rPr/>
    </w:lvl>
    <w:lvl w:ilvl="6">
      <w:start w:val="0"/>
      <w:numFmt w:val="bullet"/>
      <w:lvlText w:val="•"/>
      <w:lvlJc w:val="left"/>
      <w:pPr>
        <w:ind w:left="6266" w:hanging="360"/>
      </w:pPr>
      <w:rPr/>
    </w:lvl>
    <w:lvl w:ilvl="7">
      <w:start w:val="0"/>
      <w:numFmt w:val="bullet"/>
      <w:lvlText w:val="•"/>
      <w:lvlJc w:val="left"/>
      <w:pPr>
        <w:ind w:left="7220" w:hanging="360"/>
      </w:pPr>
      <w:rPr/>
    </w:lvl>
    <w:lvl w:ilvl="8">
      <w:start w:val="0"/>
      <w:numFmt w:val="bullet"/>
      <w:lvlText w:val="•"/>
      <w:lvlJc w:val="left"/>
      <w:pPr>
        <w:ind w:left="8173" w:hanging="360"/>
      </w:pPr>
      <w:rPr/>
    </w:lvl>
  </w:abstractNum>
  <w:abstractNum w:abstractNumId="3">
    <w:lvl w:ilvl="0">
      <w:start w:val="0"/>
      <w:numFmt w:val="bullet"/>
      <w:lvlText w:val="●"/>
      <w:lvlJc w:val="left"/>
      <w:pPr>
        <w:ind w:left="774" w:hanging="359.99999999999994"/>
      </w:pPr>
      <w:rPr>
        <w:rFonts w:ascii="Noto Sans Symbols" w:cs="Noto Sans Symbols" w:eastAsia="Noto Sans Symbols" w:hAnsi="Noto Sans Symbols"/>
        <w:b w:val="0"/>
        <w:bCs w:val="0"/>
        <w:i w:val="0"/>
        <w:iCs w:val="0"/>
        <w:sz w:val="24"/>
        <w:szCs w:val="24"/>
      </w:rPr>
    </w:lvl>
    <w:lvl w:ilvl="1">
      <w:start w:val="1"/>
      <w:numFmt w:val="lowerLetter"/>
      <w:lvlText w:val="%2."/>
      <w:lvlJc w:val="left"/>
      <w:pPr>
        <w:ind w:left="1494" w:hanging="360"/>
      </w:pPr>
      <w:rPr>
        <w:rFonts w:ascii="Arial" w:cs="Arial" w:eastAsia="Arial" w:hAnsi="Arial"/>
        <w:b w:val="0"/>
        <w:bCs w:val="0"/>
        <w:i w:val="0"/>
        <w:iCs w:val="0"/>
        <w:sz w:val="24"/>
        <w:szCs w:val="24"/>
      </w:rPr>
    </w:lvl>
    <w:lvl w:ilvl="2">
      <w:start w:val="0"/>
      <w:numFmt w:val="bullet"/>
      <w:lvlText w:val="•"/>
      <w:lvlJc w:val="left"/>
      <w:pPr>
        <w:ind w:left="2453" w:hanging="360"/>
      </w:pPr>
      <w:rPr/>
    </w:lvl>
    <w:lvl w:ilvl="3">
      <w:start w:val="0"/>
      <w:numFmt w:val="bullet"/>
      <w:lvlText w:val="•"/>
      <w:lvlJc w:val="left"/>
      <w:pPr>
        <w:ind w:left="3406" w:hanging="360"/>
      </w:pPr>
      <w:rPr/>
    </w:lvl>
    <w:lvl w:ilvl="4">
      <w:start w:val="0"/>
      <w:numFmt w:val="bullet"/>
      <w:lvlText w:val="•"/>
      <w:lvlJc w:val="left"/>
      <w:pPr>
        <w:ind w:left="4360" w:hanging="360"/>
      </w:pPr>
      <w:rPr/>
    </w:lvl>
    <w:lvl w:ilvl="5">
      <w:start w:val="0"/>
      <w:numFmt w:val="bullet"/>
      <w:lvlText w:val="•"/>
      <w:lvlJc w:val="left"/>
      <w:pPr>
        <w:ind w:left="5313" w:hanging="360"/>
      </w:pPr>
      <w:rPr/>
    </w:lvl>
    <w:lvl w:ilvl="6">
      <w:start w:val="0"/>
      <w:numFmt w:val="bullet"/>
      <w:lvlText w:val="•"/>
      <w:lvlJc w:val="left"/>
      <w:pPr>
        <w:ind w:left="6266" w:hanging="360"/>
      </w:pPr>
      <w:rPr/>
    </w:lvl>
    <w:lvl w:ilvl="7">
      <w:start w:val="0"/>
      <w:numFmt w:val="bullet"/>
      <w:lvlText w:val="•"/>
      <w:lvlJc w:val="left"/>
      <w:pPr>
        <w:ind w:left="7220" w:hanging="360"/>
      </w:pPr>
      <w:rPr/>
    </w:lvl>
    <w:lvl w:ilvl="8">
      <w:start w:val="0"/>
      <w:numFmt w:val="bullet"/>
      <w:lvlText w:val="•"/>
      <w:lvlJc w:val="left"/>
      <w:pPr>
        <w:ind w:left="8173"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val="1"/>
    <w:rsid w:val="00FB0052"/>
    <w:pPr>
      <w:spacing w:after="100" w:afterAutospacing="1" w:before="100" w:beforeAutospacing="1"/>
    </w:pPr>
    <w:rPr>
      <w:rFonts w:eastAsiaTheme="minorEastAsia"/>
      <w:lang w:eastAsia="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gmail-msolistparagraph" w:customStyle="1">
    <w:name w:val="gmail-msolistparagraph"/>
    <w:basedOn w:val="Normal"/>
    <w:rsid w:val="00EB1F26"/>
    <w:pPr>
      <w:spacing w:after="100" w:afterAutospacing="1" w:before="100" w:beforeAutospacing="1"/>
    </w:pPr>
    <w:rPr>
      <w:rFonts w:ascii="Calibri" w:cs="Calibri" w:hAnsi="Calibri" w:eastAsiaTheme="minorHAnsi"/>
      <w:sz w:val="22"/>
      <w:szCs w:val="22"/>
      <w:lang w:eastAsia="en-C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dJNj6Jhh/ZzXUZoUFlKSOcirjA==">CgMxLjAyDmgucGR4dzQ4bmVuN2NqMg5oLjE0cjM4bHhuZTI1dzIOaC5wc2xpMXNzdDBmN2UyDmguOTd1aTI3dmZlMnd0Mg5oLngxY3N5dXpiMGxuNzINaC5tY3YxZXcxYmZpcTIOaC44bjF6YzNuNnFwZmM4AHIhMTMzcXg0VFd1NlFFX1VjbVd1TDkzVktwazNrcWpaWXlB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2025-10-14T16:08:00Z</dcterms:created>
  <dc:creator>David Richards</dc:creator>
</cp:coreProperties>
</file>