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-114299</wp:posOffset>
            </wp:positionV>
            <wp:extent cx="2117725" cy="457200"/>
            <wp:effectExtent b="0" l="0" r="0" t="0"/>
            <wp:wrapNone/>
            <wp:docPr descr="Lakehead University logo" id="2" name="image1.jpg"/>
            <a:graphic>
              <a:graphicData uri="http://schemas.openxmlformats.org/drawingml/2006/picture">
                <pic:pic>
                  <pic:nvPicPr>
                    <pic:cNvPr descr="Lakehead University logo" id="0" name="image1.jpg"/>
                    <pic:cNvPicPr preferRelativeResize="0"/>
                  </pic:nvPicPr>
                  <pic:blipFill>
                    <a:blip r:embed="rId7"/>
                    <a:srcRect b="0" l="0" r="0" t="0"/>
                    <a:stretch>
                      <a:fillRect/>
                    </a:stretch>
                  </pic:blipFill>
                  <pic:spPr>
                    <a:xfrm>
                      <a:off x="0" y="0"/>
                      <a:ext cx="2117725" cy="457200"/>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1"/>
        <w:rPr>
          <w:rFonts w:ascii="Arial" w:cs="Arial" w:eastAsia="Arial" w:hAnsi="Arial"/>
          <w:color w:val="000000"/>
        </w:rPr>
      </w:pPr>
      <w:r w:rsidDel="00000000" w:rsidR="00000000" w:rsidRPr="00000000">
        <w:rPr>
          <w:rFonts w:ascii="Arial" w:cs="Arial" w:eastAsia="Arial" w:hAnsi="Arial"/>
          <w:color w:val="000000"/>
          <w:rtl w:val="0"/>
        </w:rPr>
        <w:t xml:space="preserve">Quality Assurance Cyclical Undergraduate and Graduate Program Review – Executive Summary and Implementation Plan</w:t>
      </w:r>
    </w:p>
    <w:p w:rsidR="00000000" w:rsidDel="00000000" w:rsidP="00000000" w:rsidRDefault="00000000" w:rsidRPr="00000000" w14:paraId="00000004">
      <w:pPr>
        <w:pStyle w:val="Heading2"/>
        <w:rPr>
          <w:rFonts w:ascii="Arial" w:cs="Arial" w:eastAsia="Arial" w:hAnsi="Arial"/>
          <w:color w:val="000000"/>
        </w:rPr>
      </w:pPr>
      <w:r w:rsidDel="00000000" w:rsidR="00000000" w:rsidRPr="00000000">
        <w:rPr>
          <w:rFonts w:ascii="Arial" w:cs="Arial" w:eastAsia="Arial" w:hAnsi="Arial"/>
          <w:color w:val="000000"/>
          <w:rtl w:val="0"/>
        </w:rPr>
        <w:t xml:space="preserve">Department of History</w:t>
      </w:r>
    </w:p>
    <w:p w:rsidR="00000000" w:rsidDel="00000000" w:rsidP="00000000" w:rsidRDefault="00000000" w:rsidRPr="00000000" w14:paraId="00000005">
      <w:pPr>
        <w:pStyle w:val="Heading2"/>
        <w:rPr>
          <w:rFonts w:ascii="Arial" w:cs="Arial" w:eastAsia="Arial" w:hAnsi="Arial"/>
          <w:color w:val="000000"/>
        </w:rPr>
      </w:pPr>
      <w:r w:rsidDel="00000000" w:rsidR="00000000" w:rsidRPr="00000000">
        <w:rPr>
          <w:rFonts w:ascii="Arial" w:cs="Arial" w:eastAsia="Arial" w:hAnsi="Arial"/>
          <w:color w:val="000000"/>
          <w:rtl w:val="0"/>
        </w:rPr>
        <w:t xml:space="preserve">Faculty of Social Sciences and Humanities</w:t>
      </w:r>
    </w:p>
    <w:p w:rsidR="00000000" w:rsidDel="00000000" w:rsidP="00000000" w:rsidRDefault="00000000" w:rsidRPr="00000000" w14:paraId="00000006">
      <w:pPr>
        <w:pStyle w:val="Heading2"/>
        <w:rPr>
          <w:rFonts w:ascii="Arial" w:cs="Arial" w:eastAsia="Arial" w:hAnsi="Arial"/>
          <w:color w:val="000000"/>
        </w:rPr>
      </w:pPr>
      <w:r w:rsidDel="00000000" w:rsidR="00000000" w:rsidRPr="00000000">
        <w:rPr>
          <w:rFonts w:ascii="Arial" w:cs="Arial" w:eastAsia="Arial" w:hAnsi="Arial"/>
          <w:color w:val="000000"/>
          <w:rtl w:val="0"/>
        </w:rPr>
        <w:t xml:space="preserve">December 2025</w:t>
      </w:r>
    </w:p>
    <w:p w:rsidR="00000000" w:rsidDel="00000000" w:rsidP="00000000" w:rsidRDefault="00000000" w:rsidRPr="00000000" w14:paraId="00000007">
      <w:pPr>
        <w:pStyle w:val="Heading3"/>
        <w:rPr/>
      </w:pPr>
      <w:r w:rsidDel="00000000" w:rsidR="00000000" w:rsidRPr="00000000">
        <w:rPr>
          <w:rtl w:val="0"/>
        </w:rPr>
      </w:r>
    </w:p>
    <w:p w:rsidR="00000000" w:rsidDel="00000000" w:rsidP="00000000" w:rsidRDefault="00000000" w:rsidRPr="00000000" w14:paraId="00000008">
      <w:pPr>
        <w:pStyle w:val="Heading3"/>
        <w:rPr/>
      </w:pPr>
      <w:r w:rsidDel="00000000" w:rsidR="00000000" w:rsidRPr="00000000">
        <w:rPr>
          <w:rtl w:val="0"/>
        </w:rPr>
        <w:t xml:space="preserve">Programs Reviewed</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BA</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BABEd</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HBA</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HBABEd</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pStyle w:val="Heading3"/>
        <w:rPr/>
      </w:pPr>
      <w:r w:rsidDel="00000000" w:rsidR="00000000" w:rsidRPr="00000000">
        <w:rPr>
          <w:rtl w:val="0"/>
        </w:rPr>
        <w:t xml:space="preserve">Executive Summary</w:t>
      </w:r>
    </w:p>
    <w:p w:rsidR="00000000" w:rsidDel="00000000" w:rsidP="00000000" w:rsidRDefault="00000000" w:rsidRPr="00000000" w14:paraId="00000010">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In accordance with the Lakehead University Institutional Quality Assurance Process (IQAP) and the Ontario Quality Assurance Framework (QAF), the Department of History submitted a self-study (February 2025).  Volume I presented the undergraduate and graduate program descriptions and outcomes, an analytical assessment of the programs, and program information along with institutional information and statistical data. Volume II provided course syllabi. Volume III provided the CVs for core faculty, contract lecturers, and adjunct professors contributing to the delivery of the program.</w:t>
      </w:r>
    </w:p>
    <w:p w:rsidR="00000000" w:rsidDel="00000000" w:rsidP="00000000" w:rsidRDefault="00000000" w:rsidRPr="00000000" w14:paraId="00000011">
      <w:pPr>
        <w:spacing w:after="12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Review Team for this cyclical program review included two external reviewers and one internal reviewer selected by the Senate Academic Quality Assurance Sub-Committee (SAC-QA) from a set of proposed reviewers. The reviewers examined materials and completed a two-day virtual site visit on March 25-26, 2025. The site visit included meetings with the Provost and Vice-President (Academic), Deputy Provost, Dean of Social Sciences and Humanities, the Chair of the Department, the Dean of Graduate Studies, the Associate Vice-President (Research and Graduate Studies), the Vice-Provost (Students) and Registrar, the University Librarian and Liaison Librarian, full-time, tenure-track faculty members, a group of graduate and undergraduate students, and a group of alumni.  The Review Team was provided with a video tour of the Thunder Bay campus including specific spaces related to the program, for example, classrooms.</w:t>
      </w:r>
    </w:p>
    <w:p w:rsidR="00000000" w:rsidDel="00000000" w:rsidP="00000000" w:rsidRDefault="00000000" w:rsidRPr="00000000" w14:paraId="00000012">
      <w:pPr>
        <w:spacing w:after="120" w:line="276" w:lineRule="auto"/>
        <w:rPr>
          <w:rFonts w:ascii="Arial" w:cs="Arial" w:eastAsia="Arial" w:hAnsi="Arial"/>
          <w:color w:val="222222"/>
          <w:sz w:val="24"/>
          <w:szCs w:val="24"/>
          <w:highlight w:val="white"/>
        </w:rPr>
      </w:pPr>
      <w:r w:rsidDel="00000000" w:rsidR="00000000" w:rsidRPr="00000000">
        <w:rPr>
          <w:rFonts w:ascii="Arial" w:cs="Arial" w:eastAsia="Arial" w:hAnsi="Arial"/>
          <w:sz w:val="24"/>
          <w:szCs w:val="24"/>
          <w:rtl w:val="0"/>
        </w:rPr>
        <w:t xml:space="preserve">In their report (May 2025), the Review Team provided feedback that describes how the programs delivered by the Department of History meet the Quality Assurance Framework evaluation criteria and a</w:t>
      </w:r>
      <w:r w:rsidDel="00000000" w:rsidR="00000000" w:rsidRPr="00000000">
        <w:rPr>
          <w:rFonts w:ascii="Arial" w:cs="Arial" w:eastAsia="Arial" w:hAnsi="Arial"/>
          <w:color w:val="222222"/>
          <w:sz w:val="24"/>
          <w:szCs w:val="24"/>
          <w:highlight w:val="white"/>
          <w:rtl w:val="0"/>
        </w:rPr>
        <w:t xml:space="preserve">lign with the University mission, strategic plan and academic plan. The Review Team noted that the </w:t>
      </w:r>
      <w:r w:rsidDel="00000000" w:rsidR="00000000" w:rsidRPr="00000000">
        <w:rPr>
          <w:rFonts w:ascii="Arial" w:cs="Arial" w:eastAsia="Arial" w:hAnsi="Arial"/>
          <w:sz w:val="24"/>
          <w:szCs w:val="24"/>
          <w:rtl w:val="0"/>
        </w:rPr>
        <w:t xml:space="preserve">programs are of high quality and offer students a regionally connected and learner-centred experience supported by the full-time faculty members and highly qualified Contract Lecturers.</w:t>
      </w:r>
      <w:r w:rsidDel="00000000" w:rsidR="00000000" w:rsidRPr="00000000">
        <w:rPr>
          <w:rtl w:val="0"/>
        </w:rPr>
      </w:r>
    </w:p>
    <w:p w:rsidR="00000000" w:rsidDel="00000000" w:rsidP="00000000" w:rsidRDefault="00000000" w:rsidRPr="00000000" w14:paraId="00000013">
      <w:pPr>
        <w:spacing w:after="12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At the graduate and undergraduate level, students must meet the standard University admission policies which are appropriate for the Program Learning Outcomes.  Curriculum structure and delivery, and teaching and assessment methods are appropriate, are aligned with comparable programs across Canada at the undergraduate and graduate level, reflect the current state of the discipline, and are effective in preparing graduates to meet defined program outcomes and the University’s Undergraduate and Graduate Degree Level Expectations.  </w:t>
        <w:br w:type="textWrapping"/>
      </w:r>
    </w:p>
    <w:p w:rsidR="00000000" w:rsidDel="00000000" w:rsidP="00000000" w:rsidRDefault="00000000" w:rsidRPr="00000000" w14:paraId="00000014">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Review Team noted several strengths of the Department of History programs and summarized them as follows:</w:t>
      </w:r>
    </w:p>
    <w:p w:rsidR="00000000" w:rsidDel="00000000" w:rsidP="00000000" w:rsidRDefault="00000000" w:rsidRPr="00000000" w14:paraId="00000015">
      <w:pPr>
        <w:numPr>
          <w:ilvl w:val="0"/>
          <w:numId w:val="1"/>
        </w:numPr>
        <w:spacing w:after="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quality of the tenured faculty at Lakehead University is excellent. All five members of the department hold PhDs, they have all been successful achieving significant tri-council or external funding grants, and they have won numerous awards for teaching and research. Despite their small numbers, they cast a wide geographic and thematic net covering Modern Canada and International Relations, Eastern Europe and Russia, Modern Germany and the Holocaust, Latin America and International Development, and South Asia and Environment History. Seven of nine contract lecturers and adjunct professors also hold doctorates and students do not tend to differentiate between instructors based on their academic rank. Current students and alumni speak very highly of the History faculty. While the Toronto Metropolitan University (Ryerson) arbitration ruling has clearly laid out some of the limitations associated with student evaluations, they do provide a snapshot into the student experience in the classroom. That Lakehead’s history instructors score at or above the faculty and university’s averages is indicative of an overall positive student experience.</w:t>
        <w:br w:type="textWrapping"/>
      </w:r>
    </w:p>
    <w:p w:rsidR="00000000" w:rsidDel="00000000" w:rsidP="00000000" w:rsidRDefault="00000000" w:rsidRPr="00000000" w14:paraId="00000016">
      <w:pPr>
        <w:numPr>
          <w:ilvl w:val="0"/>
          <w:numId w:val="1"/>
        </w:numPr>
        <w:spacing w:after="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Admission standards to the History program at Lakehead are high, with admissions averages for secondary students varying between 80 and 89 percent over the past six years. The commitment to experiential learning through its Public History program provides students with tangible professional and transferable skills, and is in keeping with the University’s mandate and provincial metrics. Completion times are also admirable; in the MA program the student completion average was under two years, and no student took longer than three years to complete the program, while at the bachelor-level, over 50 percent of students graduate within five to six years. Retention rates at the undergraduate level have also seen an uptick since 2020, which is encouraging.</w:t>
        <w:br w:type="textWrapping"/>
      </w:r>
    </w:p>
    <w:p w:rsidR="00000000" w:rsidDel="00000000" w:rsidP="00000000" w:rsidRDefault="00000000" w:rsidRPr="00000000" w14:paraId="00000017">
      <w:pPr>
        <w:numPr>
          <w:ilvl w:val="0"/>
          <w:numId w:val="1"/>
        </w:numPr>
        <w:spacing w:after="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As mentioned previously, a key strength of this Department is its public history program, which offers a Specialization and a Certificate. It is competitive with similar programs across the country and is unquestionably relevant in addressing societal needs and student demand. This aspect of the program perfectly complements the university’s strategic plan; fulfills the provincial governments’ performance metrics; it has a good reputation in the local community; it provides experiential learning opportunities for students; and has played an important role in supporting research into and generating publicity about the region’s history.</w:t>
        <w:br w:type="textWrapping"/>
      </w:r>
    </w:p>
    <w:p w:rsidR="00000000" w:rsidDel="00000000" w:rsidP="00000000" w:rsidRDefault="00000000" w:rsidRPr="00000000" w14:paraId="00000018">
      <w:pPr>
        <w:numPr>
          <w:ilvl w:val="0"/>
          <w:numId w:val="1"/>
        </w:numPr>
        <w:spacing w:after="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Department also offers a Specialization in Military history and has proposed a Specialization in Asian history. The Department also offers a host of attractive joint majors, including (as of the Fall 2025) Indigenous Learning. These specializations and joint majors provide great flexibility for students to be able to expand their learning horizons.</w:t>
        <w:br w:type="textWrapping"/>
      </w:r>
    </w:p>
    <w:p w:rsidR="00000000" w:rsidDel="00000000" w:rsidP="00000000" w:rsidRDefault="00000000" w:rsidRPr="00000000" w14:paraId="00000019">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Responses to the Review Team were received from the Chair of the Department of History (September 2025), and the Dean of the Faculty of Social Sciences and Humanities (October 6, 2025).  </w:t>
      </w:r>
    </w:p>
    <w:p w:rsidR="00000000" w:rsidDel="00000000" w:rsidP="00000000" w:rsidRDefault="00000000" w:rsidRPr="00000000" w14:paraId="0000001A">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 Final Assessment Report (FAR) has been prepared to provide a synthesis of the external evaluation and internal response to the recommendations.  This report identifies the significant strengths of the program, the opportunities for program improvement and enhancement, and sets out and prioritizes the recommendations that have been selected for implementation. </w:t>
      </w:r>
    </w:p>
    <w:p w:rsidR="00000000" w:rsidDel="00000000" w:rsidP="00000000" w:rsidRDefault="00000000" w:rsidRPr="00000000" w14:paraId="0000001B">
      <w:pPr>
        <w:spacing w:line="276" w:lineRule="auto"/>
        <w:rPr>
          <w:rFonts w:ascii="Arial" w:cs="Arial" w:eastAsia="Arial" w:hAnsi="Arial"/>
          <w:b w:val="1"/>
          <w:bCs w:val="1"/>
          <w:color w:val="548dd4"/>
          <w:sz w:val="24"/>
          <w:szCs w:val="24"/>
        </w:rPr>
      </w:pPr>
      <w:r w:rsidDel="00000000" w:rsidR="00000000" w:rsidRPr="00000000">
        <w:rPr>
          <w:rFonts w:ascii="Arial" w:cs="Arial" w:eastAsia="Arial" w:hAnsi="Arial"/>
          <w:sz w:val="24"/>
          <w:szCs w:val="24"/>
          <w:rtl w:val="0"/>
        </w:rPr>
        <w:br w:type="textWrapping"/>
      </w:r>
      <w:r w:rsidDel="00000000" w:rsidR="00000000" w:rsidRPr="00000000">
        <w:rPr>
          <w:rFonts w:ascii="Arial" w:cs="Arial" w:eastAsia="Arial" w:hAnsi="Arial"/>
          <w:b w:val="1"/>
          <w:bCs w:val="1"/>
          <w:color w:val="548dd4"/>
          <w:sz w:val="24"/>
          <w:szCs w:val="24"/>
          <w:rtl w:val="0"/>
        </w:rPr>
        <w:t xml:space="preserve">Implementation Plan</w:t>
      </w:r>
    </w:p>
    <w:p w:rsidR="00000000" w:rsidDel="00000000" w:rsidP="00000000" w:rsidRDefault="00000000" w:rsidRPr="00000000" w14:paraId="0000001C">
      <w:pPr>
        <w:spacing w:line="276" w:lineRule="auto"/>
        <w:rPr>
          <w:rFonts w:ascii="Arial" w:cs="Arial" w:eastAsia="Arial" w:hAnsi="Arial"/>
          <w:sz w:val="24"/>
          <w:szCs w:val="24"/>
        </w:rPr>
      </w:pPr>
      <w:r w:rsidDel="00000000" w:rsidR="00000000" w:rsidRPr="00000000">
        <w:rPr>
          <w:color w:val="548dd4"/>
          <w:rtl w:val="0"/>
        </w:rPr>
        <w:br w:type="textWrapping"/>
      </w:r>
      <w:r w:rsidDel="00000000" w:rsidR="00000000" w:rsidRPr="00000000">
        <w:rPr>
          <w:rFonts w:ascii="Arial" w:cs="Arial" w:eastAsia="Arial" w:hAnsi="Arial"/>
          <w:sz w:val="24"/>
          <w:szCs w:val="24"/>
          <w:rtl w:val="0"/>
        </w:rPr>
        <w:t xml:space="preserve">The Implementation Plan included below identifies the academic unit’s plans to action the recommendations, those responsible for ensuring their implementation and the timelines.  </w:t>
        <w:br w:type="textWrapping"/>
        <w:br w:type="textWrapping"/>
      </w:r>
      <w:r w:rsidDel="00000000" w:rsidR="00000000" w:rsidRPr="00000000">
        <w:rPr>
          <w:rFonts w:ascii="Arial" w:cs="Arial" w:eastAsia="Arial" w:hAnsi="Arial"/>
          <w:b w:val="1"/>
          <w:bCs w:val="1"/>
          <w:sz w:val="24"/>
          <w:szCs w:val="24"/>
          <w:rtl w:val="0"/>
        </w:rPr>
        <w:t xml:space="preserve">Recommendation Priority 1 </w:t>
      </w:r>
      <w:r w:rsidDel="00000000" w:rsidR="00000000" w:rsidRPr="00000000">
        <w:rPr>
          <w:rFonts w:ascii="Arial" w:cs="Arial" w:eastAsia="Arial" w:hAnsi="Arial"/>
          <w:sz w:val="24"/>
          <w:szCs w:val="24"/>
          <w:rtl w:val="0"/>
        </w:rPr>
        <w:br w:type="textWrapping"/>
        <w:t xml:space="preserve">Within a theme of faculty resources, Recommendation 1 and Recommendation 2 of the Review Team Report detailed the pressing need for two tenure-track hires to allow the Department to meet the strong current and projected growth of program majors.</w:t>
        <w:br w:type="textWrapping"/>
      </w:r>
    </w:p>
    <w:p w:rsidR="00000000" w:rsidDel="00000000" w:rsidP="00000000" w:rsidRDefault="00000000" w:rsidRPr="00000000" w14:paraId="0000001D">
      <w:pPr>
        <w:rPr>
          <w:rFonts w:ascii="Arial" w:cs="Arial" w:eastAsia="Arial" w:hAnsi="Arial"/>
          <w:sz w:val="24"/>
          <w:szCs w:val="24"/>
        </w:rPr>
      </w:pPr>
      <w:r w:rsidDel="00000000" w:rsidR="00000000" w:rsidRPr="00000000">
        <w:rPr>
          <w:rFonts w:ascii="Arial" w:cs="Arial" w:eastAsia="Arial" w:hAnsi="Arial"/>
          <w:sz w:val="24"/>
          <w:szCs w:val="24"/>
          <w:rtl w:val="0"/>
        </w:rPr>
        <w:t xml:space="preserve">Actions for Implementation</w:t>
        <w:br w:type="textWrapping"/>
        <w:t xml:space="preserve">A tenure-track request for a Modern Canada position with a specialty in public history called for in Recommendation 1 was approved by the Provost, and a successful search process has been carried out.  A tenure track request for a strategic hire in North American Indigenous History called for in Recommendation 2 will be submitted through the regular approval channels.</w:t>
        <w:br w:type="textWrapping"/>
        <w:br w:type="textWrapping"/>
        <w:t xml:space="preserve">Role/Person responsible for implementation</w:t>
        <w:br w:type="textWrapping"/>
        <w:t xml:space="preserve">In consultation with faculty colleagues, the Department Chair will create the hiring request and the supporting hiring brief for the position in North American Indigenous History.  This proposal will be submitted to the Dean of the Faculty of Social Sciences and Humanities, who will determine the priority of proposals submitted to her within the Faculty that will then be submitted to the Provost’s office for ultimate decision.</w:t>
        <w:br w:type="textWrapping"/>
        <w:br w:type="textWrapping"/>
        <w:t xml:space="preserve">Timeline</w:t>
        <w:br w:type="textWrapping"/>
        <w:t xml:space="preserve">The strategic hire request for the tenure-track position in North American Indigenous History will be submitted in the 2025/26 hiring cycle.  If approved by the Provost’s office, a search process will be carried out in time for a new faculty member to be hired by the start of the 2026/27 academic year.</w:t>
        <w:br w:type="textWrapping"/>
        <w:br w:type="textWrapping"/>
        <w:t xml:space="preserve">DEANS RESPONSE:</w:t>
        <w:br w:type="textWrapping"/>
        <w:t xml:space="preserve">The request for a tenure-track hire in North American Indigenous History is subject to budgetary approval by the Provost.</w:t>
        <w:br w:type="textWrapping"/>
        <w:br w:type="textWrapping"/>
      </w:r>
      <w:r w:rsidDel="00000000" w:rsidR="00000000" w:rsidRPr="00000000">
        <w:rPr>
          <w:rFonts w:ascii="Arial" w:cs="Arial" w:eastAsia="Arial" w:hAnsi="Arial"/>
          <w:b w:val="1"/>
          <w:bCs w:val="1"/>
          <w:sz w:val="24"/>
          <w:szCs w:val="24"/>
          <w:rtl w:val="0"/>
        </w:rPr>
        <w:t xml:space="preserve">Recommendation Priority 2 </w:t>
      </w:r>
      <w:r w:rsidDel="00000000" w:rsidR="00000000" w:rsidRPr="00000000">
        <w:rPr>
          <w:rFonts w:ascii="Arial" w:cs="Arial" w:eastAsia="Arial" w:hAnsi="Arial"/>
          <w:sz w:val="24"/>
          <w:szCs w:val="24"/>
          <w:rtl w:val="0"/>
        </w:rPr>
        <w:br w:type="textWrapping"/>
        <w:t xml:space="preserve">Within a theme of program refinement and expansion, Recommendation 6 and Recommendation 10 of the Review Team Report detailed the need to revitalize the Department’s public history program and to officially expand the graduate program to the Orillia campus.</w:t>
        <w:br w:type="textWrapping"/>
        <w:br w:type="textWrapping"/>
        <w:t xml:space="preserve">Actions for Implementation</w:t>
        <w:br w:type="textWrapping"/>
        <w:t xml:space="preserve">To address Recommendation 6, the new tenure-track hire in Modern Canada who specializes in public history in concert with other Department members will revamp the public history program by updating the Academic Calendar entry to make the program more accessible and relevant to History majors.  The broader base of experiential learning placements that is currently being developed will be expanded as well to include placement opportunities on the Orillia campus.  The expansion of the MA program to the Orillia campus called for in Recommendation 10 will be undertaken by the submission of a formal proposal to be reviewed and approved by the appropriate Senate committees in the regular program change process.</w:t>
        <w:br w:type="textWrapping"/>
        <w:br w:type="textWrapping"/>
        <w:t xml:space="preserve">Role/Person responsible for implementation</w:t>
        <w:br w:type="textWrapping"/>
        <w:t xml:space="preserve">The public history program coordinator—initially the new tenure-track hire—will work in concert with the Department Chair to facilitate the adoption of a new Academic Calendar entry strengthening the public history program.  The graduate coordinator will work in concert with the Department Chair to develop the proposal to expand the MA program to the Orillia campus and submit it for approval through the Senate approval process.</w:t>
        <w:br w:type="textWrapping"/>
        <w:br w:type="textWrapping"/>
        <w:t xml:space="preserve">Timeline</w:t>
        <w:br w:type="textWrapping"/>
        <w:t xml:space="preserve">The proposal to expand the graduate program to Orillia will be submitted in the 2025/26 academic year and, when approved, will be in place for the 2027/28 academic year.  Once the new Modern Canada te3nure-track hire is in place to help plan the changes, the proposal to change the Academic Calendar entry for the specialization in public history will be submitted in the 2026/27 academic year.  When approved, the new regulations would be in place for the 2028/29 academic year.</w:t>
        <w:br w:type="textWrapping"/>
        <w:br w:type="textWrapping"/>
        <w:t xml:space="preserve">DEANS RESPONSE:</w:t>
        <w:br w:type="textWrapping"/>
        <w:t xml:space="preserve">The Dean of SSH supports the implementation as indicated.</w:t>
        <w:br w:type="textWrapping"/>
        <w:t xml:space="preserve">The Dean of FGS supports the implementation of expanding the graduate program to the Orillia Campus.</w:t>
        <w:br w:type="textWrapping"/>
        <w:br w:type="textWrapping"/>
      </w:r>
      <w:r w:rsidDel="00000000" w:rsidR="00000000" w:rsidRPr="00000000">
        <w:rPr>
          <w:rFonts w:ascii="Arial" w:cs="Arial" w:eastAsia="Arial" w:hAnsi="Arial"/>
          <w:b w:val="1"/>
          <w:bCs w:val="1"/>
          <w:sz w:val="24"/>
          <w:szCs w:val="24"/>
          <w:rtl w:val="0"/>
        </w:rPr>
        <w:t xml:space="preserve">Recommendation Priority 3 </w:t>
      </w:r>
      <w:r w:rsidDel="00000000" w:rsidR="00000000" w:rsidRPr="00000000">
        <w:rPr>
          <w:rFonts w:ascii="Arial" w:cs="Arial" w:eastAsia="Arial" w:hAnsi="Arial"/>
          <w:sz w:val="24"/>
          <w:szCs w:val="24"/>
          <w:rtl w:val="0"/>
        </w:rPr>
        <w:br w:type="textWrapping"/>
        <w:t xml:space="preserve">Within a theme of program delivery modes, Recommendation 4 and Recommendation 5 of the Review Team report called for a better balance of in-person to on-line courses offered by the Department and for the use of hybrid teaching technologies to simultaneously offer in-person and on-line synchronous courses.</w:t>
        <w:br w:type="textWrapping"/>
        <w:br w:type="textWrapping"/>
        <w:t xml:space="preserve">Actions for Implementation</w:t>
        <w:br w:type="textWrapping"/>
        <w:t xml:space="preserve">To address Recommendation 4, the Department will adopt a two-year implementation strategy to bring the percentage of classes offered on-line from nearly 70% in the 2025/26 academic year to a proposed 50% in the 2027/28 academic year.  The offering of hybrid courses called for in Recommendation 5 will be addressed on a trial basis to determine the feasibility of this recommendation in terms of the available technology and instructor/student responses to its effectiveness.  Use of the two telepresence rooms on the Thunder Bay and Orillia campuses will also be sought on a more frequent basis to allow for advanced videoconference delivery of a number of classes dependent on room availability.</w:t>
        <w:br w:type="textWrapping"/>
        <w:br w:type="textWrapping"/>
        <w:t xml:space="preserve">Role/Person responsible for implementation</w:t>
        <w:br w:type="textWrapping"/>
        <w:t xml:space="preserve">The Department Chair and all full-time members of the Department will implement these proposed strategies through the annual curriculum development exercise that is ultimately applied through the Scheduling Office.</w:t>
        <w:br w:type="textWrapping"/>
        <w:br w:type="textWrapping"/>
        <w:t xml:space="preserve">Timeline</w:t>
        <w:br w:type="textWrapping"/>
        <w:t xml:space="preserve">The percentage of classes scheduled to be taught on-line will be set at 60% in the 2026/27 academic year and at 50% in the 2027/28 academic year.  One hybrid class will be offered in the 2026/27 academic year on a trial basis to determine the merits of this delivery method.  If positive feedback is received from the instructor and students, the number of classes employing hybrid delivery methods can be increased.  Two courses will be scheduled in the telepresence rooms going forward beginning in the 2026/27 academic year.</w:t>
        <w:br w:type="textWrapping"/>
        <w:br w:type="textWrapping"/>
        <w:t xml:space="preserve">DEANS RESPONSE:</w:t>
        <w:br w:type="textWrapping"/>
        <w:t xml:space="preserve">The Dean of SSH supports the implementation plan as presented.</w:t>
        <w:br w:type="textWrapping"/>
        <w:br w:type="textWrapping"/>
      </w:r>
      <w:r w:rsidDel="00000000" w:rsidR="00000000" w:rsidRPr="00000000">
        <w:rPr>
          <w:rFonts w:ascii="Arial" w:cs="Arial" w:eastAsia="Arial" w:hAnsi="Arial"/>
          <w:b w:val="1"/>
          <w:bCs w:val="1"/>
          <w:sz w:val="24"/>
          <w:szCs w:val="24"/>
          <w:rtl w:val="0"/>
        </w:rPr>
        <w:t xml:space="preserve">Recommendation Priority 4 </w:t>
      </w:r>
      <w:r w:rsidDel="00000000" w:rsidR="00000000" w:rsidRPr="00000000">
        <w:rPr>
          <w:rFonts w:ascii="Arial" w:cs="Arial" w:eastAsia="Arial" w:hAnsi="Arial"/>
          <w:sz w:val="24"/>
          <w:szCs w:val="24"/>
          <w:rtl w:val="0"/>
        </w:rPr>
        <w:br w:type="textWrapping"/>
        <w:t xml:space="preserve">Within a theme of student engagement, Recommendation 7 and Recommendation 8 of the Review Team Report called for the re-activation of the History Society and for the strengthening of the Peer Mentorship Program.</w:t>
        <w:br w:type="textWrapping"/>
        <w:br w:type="textWrapping"/>
        <w:t xml:space="preserve">Actions for Implementation</w:t>
        <w:br w:type="textWrapping"/>
        <w:t xml:space="preserve">To address Recommendation 7, senior undergraduate students will be contacted to determine their willingness to spearhead a campaign to re-start the History Society, a once-flourishing student club that, unfortunately, went dormant as a result of the pandemic.  In terms of Recommendation 8, the Peer Mentorship Program that pairs senior undergraduate mentors who major in History with first year students entering History programs has been in operation for more than a decade. It has been successful, but the growth in departmental majors and the expansion of programming to Orillia requires this peer mentorship initiative to be given a high priority among all full-time members of the Department. </w:t>
        <w:br w:type="textWrapping"/>
        <w:br w:type="textWrapping"/>
        <w:t xml:space="preserve">Role/Person responsible for implementation</w:t>
        <w:br w:type="textWrapping"/>
        <w:t xml:space="preserve">The History Society is a student club affiliated with the Lakehead University Student Union, so, by definition, the initiative to re-activate the Society must lay primarily with students.  The Department Chair will, however, play an important role as a faculty advisor to the Society and can provide some departmental funding for History Society events.  A single faculty member has managed the Peer Mentorship Program for more than a decade, but, with the growth in History majors on the Orillia campus, it might be appropriate for the supervision of this program to be managed by full-time faculty volunteers on each campus.</w:t>
        <w:br w:type="textWrapping"/>
        <w:br w:type="textWrapping"/>
        <w:t xml:space="preserve">Timeline</w:t>
        <w:br w:type="textWrapping"/>
        <w:t xml:space="preserve">The percentage of classes scheduled to be taught on-line will be set at 60% in the 2026/27 academic year and at 50% in the 2027/28 academic year.  One hybrid class will be offered in the 2026/27 academic year on a trial basis to determine the merits of this delivery method.  If positive feedback is received from the instructor and students, the number of classes employing hybrid delivery methods can be increased.  Two courses will be scheduled in the telepresence rooms going forward beginning in the 2026/27 academic year.</w:t>
        <w:br w:type="textWrapping"/>
        <w:br w:type="textWrapping"/>
        <w:t xml:space="preserve">DEANS RESPONSE:</w:t>
        <w:br w:type="textWrapping"/>
        <w:t xml:space="preserve">The Dean of SSH supports the implementation plan to achieve the aforementioned recommendations.</w:t>
      </w:r>
    </w:p>
    <w:p w:rsidR="00000000" w:rsidDel="00000000" w:rsidP="00000000" w:rsidRDefault="00000000" w:rsidRPr="00000000" w14:paraId="0000001E">
      <w:pPr>
        <w:pStyle w:val="Heading2"/>
        <w:rPr>
          <w:rFonts w:ascii="Arial" w:cs="Arial" w:eastAsia="Arial" w:hAnsi="Arial"/>
          <w:sz w:val="24"/>
          <w:szCs w:val="24"/>
        </w:rPr>
      </w:pPr>
      <w:r w:rsidDel="00000000" w:rsidR="00000000" w:rsidRPr="00000000">
        <w:rPr>
          <w:rtl w:val="0"/>
        </w:rPr>
      </w:r>
    </w:p>
    <w:sectPr>
      <w:footerReference r:id="rId8" w:type="default"/>
      <w:footerReference r:id="rId9"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Executive Summary and Implementation Plan: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Department of History 2025</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CA"/>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spacing w:after="240" w:line="240" w:lineRule="auto"/>
    </w:pPr>
    <w:rPr>
      <w:rFonts w:ascii="Arial" w:cs="Arial" w:eastAsia="Arial" w:hAnsi="Arial"/>
      <w:b w:val="1"/>
      <w:bCs w:val="1"/>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634086"/>
    <w:pPr>
      <w:ind w:left="720"/>
      <w:contextualSpacing w:val="1"/>
    </w:pPr>
  </w:style>
  <w:style w:type="character" w:styleId="CommentReference">
    <w:name w:val="annotation reference"/>
    <w:basedOn w:val="DefaultParagraphFont"/>
    <w:uiPriority w:val="99"/>
    <w:semiHidden w:val="1"/>
    <w:unhideWhenUsed w:val="1"/>
    <w:rsid w:val="001351B0"/>
    <w:rPr>
      <w:sz w:val="16"/>
      <w:szCs w:val="16"/>
    </w:rPr>
  </w:style>
  <w:style w:type="paragraph" w:styleId="CommentText">
    <w:name w:val="annotation text"/>
    <w:basedOn w:val="Normal"/>
    <w:link w:val="CommentTextChar"/>
    <w:uiPriority w:val="99"/>
    <w:semiHidden w:val="1"/>
    <w:unhideWhenUsed w:val="1"/>
    <w:rsid w:val="001351B0"/>
    <w:pPr>
      <w:spacing w:line="240" w:lineRule="auto"/>
    </w:pPr>
    <w:rPr>
      <w:sz w:val="20"/>
      <w:szCs w:val="20"/>
    </w:rPr>
  </w:style>
  <w:style w:type="character" w:styleId="CommentTextChar" w:customStyle="1">
    <w:name w:val="Comment Text Char"/>
    <w:basedOn w:val="DefaultParagraphFont"/>
    <w:link w:val="CommentText"/>
    <w:uiPriority w:val="99"/>
    <w:semiHidden w:val="1"/>
    <w:rsid w:val="001351B0"/>
    <w:rPr>
      <w:sz w:val="20"/>
      <w:szCs w:val="20"/>
    </w:rPr>
  </w:style>
  <w:style w:type="paragraph" w:styleId="CommentSubject">
    <w:name w:val="annotation subject"/>
    <w:basedOn w:val="CommentText"/>
    <w:next w:val="CommentText"/>
    <w:link w:val="CommentSubjectChar"/>
    <w:uiPriority w:val="99"/>
    <w:semiHidden w:val="1"/>
    <w:unhideWhenUsed w:val="1"/>
    <w:rsid w:val="001351B0"/>
    <w:rPr>
      <w:b w:val="1"/>
      <w:bCs w:val="1"/>
    </w:rPr>
  </w:style>
  <w:style w:type="character" w:styleId="CommentSubjectChar" w:customStyle="1">
    <w:name w:val="Comment Subject Char"/>
    <w:basedOn w:val="CommentTextChar"/>
    <w:link w:val="CommentSubject"/>
    <w:uiPriority w:val="99"/>
    <w:semiHidden w:val="1"/>
    <w:rsid w:val="001351B0"/>
    <w:rPr>
      <w:b w:val="1"/>
      <w:bCs w:val="1"/>
      <w:sz w:val="20"/>
      <w:szCs w:val="20"/>
    </w:rPr>
  </w:style>
  <w:style w:type="paragraph" w:styleId="BalloonText">
    <w:name w:val="Balloon Text"/>
    <w:basedOn w:val="Normal"/>
    <w:link w:val="BalloonTextChar"/>
    <w:uiPriority w:val="99"/>
    <w:semiHidden w:val="1"/>
    <w:unhideWhenUsed w:val="1"/>
    <w:rsid w:val="001351B0"/>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1351B0"/>
    <w:rPr>
      <w:rFonts w:ascii="Tahoma" w:cs="Tahoma" w:hAnsi="Tahoma"/>
      <w:sz w:val="16"/>
      <w:szCs w:val="16"/>
    </w:rPr>
  </w:style>
  <w:style w:type="paragraph" w:styleId="BodyText">
    <w:name w:val="Body Text"/>
    <w:basedOn w:val="Normal"/>
    <w:link w:val="BodyTextChar"/>
    <w:uiPriority w:val="1"/>
    <w:qFormat w:val="1"/>
    <w:rsid w:val="00A23D06"/>
    <w:pPr>
      <w:autoSpaceDE w:val="0"/>
      <w:autoSpaceDN w:val="0"/>
      <w:adjustRightInd w:val="0"/>
      <w:spacing w:after="0" w:line="240" w:lineRule="auto"/>
    </w:pPr>
    <w:rPr>
      <w:rFonts w:ascii="Arial" w:cs="Arial" w:eastAsia="Times New Roman" w:hAnsi="Arial"/>
    </w:rPr>
  </w:style>
  <w:style w:type="character" w:styleId="BodyTextChar" w:customStyle="1">
    <w:name w:val="Body Text Char"/>
    <w:basedOn w:val="DefaultParagraphFont"/>
    <w:link w:val="BodyText"/>
    <w:uiPriority w:val="1"/>
    <w:rsid w:val="00A23D06"/>
    <w:rPr>
      <w:rFonts w:ascii="Arial" w:cs="Arial" w:eastAsia="Times New Roman" w:hAnsi="Arial"/>
    </w:rPr>
  </w:style>
  <w:style w:type="paragraph" w:styleId="Date">
    <w:name w:val="Date"/>
    <w:basedOn w:val="Normal"/>
    <w:next w:val="Normal"/>
    <w:link w:val="DateChar"/>
    <w:uiPriority w:val="99"/>
    <w:semiHidden w:val="1"/>
    <w:unhideWhenUsed w:val="1"/>
    <w:rsid w:val="00A35A85"/>
  </w:style>
  <w:style w:type="character" w:styleId="DateChar" w:customStyle="1">
    <w:name w:val="Date Char"/>
    <w:basedOn w:val="DefaultParagraphFont"/>
    <w:link w:val="Date"/>
    <w:uiPriority w:val="99"/>
    <w:semiHidden w:val="1"/>
    <w:rsid w:val="00A35A85"/>
  </w:style>
  <w:style w:type="paragraph" w:styleId="Footer">
    <w:name w:val="footer"/>
    <w:basedOn w:val="Normal"/>
    <w:link w:val="FooterChar"/>
    <w:uiPriority w:val="99"/>
    <w:unhideWhenUsed w:val="1"/>
    <w:rsid w:val="00A35A85"/>
    <w:pPr>
      <w:tabs>
        <w:tab w:val="center" w:pos="4680"/>
        <w:tab w:val="right" w:pos="9360"/>
      </w:tabs>
      <w:spacing w:after="0" w:line="240" w:lineRule="auto"/>
    </w:pPr>
  </w:style>
  <w:style w:type="character" w:styleId="FooterChar" w:customStyle="1">
    <w:name w:val="Footer Char"/>
    <w:basedOn w:val="DefaultParagraphFont"/>
    <w:link w:val="Footer"/>
    <w:uiPriority w:val="99"/>
    <w:rsid w:val="00A35A85"/>
  </w:style>
  <w:style w:type="character" w:styleId="PageNumber">
    <w:name w:val="page number"/>
    <w:basedOn w:val="DefaultParagraphFont"/>
    <w:uiPriority w:val="99"/>
    <w:semiHidden w:val="1"/>
    <w:unhideWhenUsed w:val="1"/>
    <w:rsid w:val="00A35A85"/>
  </w:style>
  <w:style w:type="character" w:styleId="Heading3Char" w:customStyle="1">
    <w:name w:val="Heading 3 Char"/>
    <w:basedOn w:val="DefaultParagraphFont"/>
    <w:link w:val="Heading3"/>
    <w:uiPriority w:val="9"/>
    <w:rsid w:val="007D41BC"/>
    <w:rPr>
      <w:rFonts w:ascii="Arial" w:cs="Arial" w:eastAsia="Times New Roman" w:hAnsi="Arial"/>
      <w:b w:val="1"/>
      <w:sz w:val="24"/>
    </w:rPr>
  </w:style>
  <w:style w:type="character" w:styleId="Heading2Char" w:customStyle="1">
    <w:name w:val="Heading 2 Char"/>
    <w:basedOn w:val="DefaultParagraphFont"/>
    <w:link w:val="Heading2"/>
    <w:uiPriority w:val="9"/>
    <w:rsid w:val="00D31FDF"/>
    <w:rPr>
      <w:rFonts w:asciiTheme="majorHAnsi" w:cstheme="majorBidi" w:eastAsiaTheme="majorEastAsia" w:hAnsiTheme="majorHAnsi"/>
      <w:color w:val="2e74b5" w:themeColor="accent1" w:themeShade="0000BF"/>
      <w:sz w:val="26"/>
      <w:szCs w:val="26"/>
    </w:rPr>
  </w:style>
  <w:style w:type="character" w:styleId="Heading1Char" w:customStyle="1">
    <w:name w:val="Heading 1 Char"/>
    <w:basedOn w:val="DefaultParagraphFont"/>
    <w:link w:val="Heading1"/>
    <w:uiPriority w:val="9"/>
    <w:rsid w:val="00FC0394"/>
    <w:rPr>
      <w:rFonts w:asciiTheme="majorHAnsi" w:cstheme="majorBidi" w:eastAsiaTheme="majorEastAsia" w:hAnsiTheme="majorHAnsi"/>
      <w:color w:val="2e74b5" w:themeColor="accent1" w:themeShade="0000BF"/>
      <w:sz w:val="32"/>
      <w:szCs w:val="32"/>
    </w:rPr>
  </w:style>
  <w:style w:type="paragraph" w:styleId="Header">
    <w:name w:val="header"/>
    <w:basedOn w:val="Normal"/>
    <w:link w:val="HeaderChar"/>
    <w:uiPriority w:val="99"/>
    <w:unhideWhenUsed w:val="1"/>
    <w:rsid w:val="003B3872"/>
    <w:pPr>
      <w:tabs>
        <w:tab w:val="center" w:pos="4680"/>
        <w:tab w:val="right" w:pos="9360"/>
      </w:tabs>
      <w:spacing w:after="0" w:line="240" w:lineRule="auto"/>
    </w:pPr>
  </w:style>
  <w:style w:type="character" w:styleId="HeaderChar" w:customStyle="1">
    <w:name w:val="Header Char"/>
    <w:basedOn w:val="DefaultParagraphFont"/>
    <w:link w:val="Header"/>
    <w:uiPriority w:val="99"/>
    <w:rsid w:val="003B3872"/>
  </w:style>
  <w:style w:type="paragraph" w:styleId="Standard" w:customStyle="1">
    <w:name w:val="Standard"/>
    <w:rsid w:val="00E60DA6"/>
    <w:pPr>
      <w:suppressAutoHyphens w:val="1"/>
      <w:autoSpaceDN w:val="0"/>
      <w:spacing w:after="0" w:line="240" w:lineRule="auto"/>
      <w:textAlignment w:val="baseline"/>
    </w:pPr>
    <w:rPr>
      <w:rFonts w:ascii="Times New Roman" w:cs="Times New Roman" w:eastAsia="Times New Roman" w:hAnsi="Times New Roman"/>
      <w:sz w:val="24"/>
      <w:szCs w:val="24"/>
      <w:lang w:val="en-US"/>
    </w:rPr>
  </w:style>
  <w:style w:type="paragraph" w:styleId="Revision">
    <w:name w:val="Revision"/>
    <w:hidden w:val="1"/>
    <w:uiPriority w:val="99"/>
    <w:semiHidden w:val="1"/>
    <w:rsid w:val="00D21979"/>
    <w:pPr>
      <w:spacing w:after="0" w:line="240" w:lineRule="auto"/>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w1gn73pZRxpDskxfskM0ssPZZA==">CgMxLjA4AHIhMTY3cEFIM0wxTlp0aGtudG0yS2FuMDVxb2hZMzhJU3N1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2025-12-16T18:50:00Z</dcterms:created>
  <dc:creator>Nancy Luckai</dc:creator>
</cp:coreProperties>
</file>