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5C98"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b/>
          <w:bCs/>
          <w:color w:val="585880"/>
          <w:sz w:val="20"/>
          <w:szCs w:val="20"/>
        </w:rPr>
        <w:t>Job Details</w:t>
      </w:r>
      <w:r w:rsidRPr="00EF2636">
        <w:rPr>
          <w:rFonts w:ascii="Arial" w:eastAsia="Times New Roman" w:hAnsi="Arial" w:cs="Arial"/>
          <w:color w:val="585880"/>
          <w:sz w:val="20"/>
          <w:szCs w:val="20"/>
        </w:rPr>
        <w:t> </w:t>
      </w:r>
    </w:p>
    <w:p w14:paraId="2E7F208A" w14:textId="77777777" w:rsidR="00EF2636" w:rsidRPr="00EF2636" w:rsidRDefault="00EF2636" w:rsidP="00EF2636">
      <w:pPr>
        <w:spacing w:line="215" w:lineRule="atLeast"/>
        <w:rPr>
          <w:rFonts w:ascii="Arial" w:eastAsia="Times New Roman" w:hAnsi="Arial" w:cs="Arial"/>
          <w:b/>
          <w:bCs/>
          <w:color w:val="000080"/>
          <w:sz w:val="20"/>
          <w:szCs w:val="20"/>
        </w:rPr>
      </w:pPr>
      <w:r w:rsidRPr="00EF2636">
        <w:rPr>
          <w:rFonts w:ascii="Arial" w:eastAsia="Times New Roman" w:hAnsi="Arial" w:cs="Arial"/>
          <w:b/>
          <w:bCs/>
          <w:color w:val="000080"/>
          <w:sz w:val="20"/>
          <w:szCs w:val="20"/>
        </w:rPr>
        <w:t>Job Title:</w:t>
      </w:r>
    </w:p>
    <w:p w14:paraId="5E10287F"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color w:val="585880"/>
          <w:sz w:val="20"/>
          <w:szCs w:val="20"/>
        </w:rPr>
        <w:t>Consultant, Psychogeriatric Resource FT</w:t>
      </w:r>
    </w:p>
    <w:p w14:paraId="2CEE6C3A" w14:textId="77777777" w:rsidR="00EF2636" w:rsidRPr="00EF2636" w:rsidRDefault="00EF2636" w:rsidP="00EF2636">
      <w:pPr>
        <w:spacing w:line="215" w:lineRule="atLeast"/>
        <w:rPr>
          <w:rFonts w:ascii="Arial" w:eastAsia="Times New Roman" w:hAnsi="Arial" w:cs="Arial"/>
          <w:color w:val="585880"/>
          <w:sz w:val="20"/>
          <w:szCs w:val="20"/>
        </w:rPr>
      </w:pPr>
    </w:p>
    <w:p w14:paraId="51BAA99D" w14:textId="77777777" w:rsidR="00EF2636" w:rsidRPr="00EF2636" w:rsidRDefault="00EF2636" w:rsidP="00EF2636">
      <w:pPr>
        <w:spacing w:line="215" w:lineRule="atLeast"/>
        <w:rPr>
          <w:rFonts w:ascii="Arial" w:eastAsia="Times New Roman" w:hAnsi="Arial" w:cs="Arial"/>
          <w:b/>
          <w:bCs/>
          <w:color w:val="000080"/>
          <w:sz w:val="20"/>
          <w:szCs w:val="20"/>
        </w:rPr>
      </w:pPr>
      <w:r w:rsidRPr="00EF2636">
        <w:rPr>
          <w:rFonts w:ascii="Arial" w:eastAsia="Times New Roman" w:hAnsi="Arial" w:cs="Arial"/>
          <w:b/>
          <w:bCs/>
          <w:color w:val="000080"/>
          <w:sz w:val="20"/>
          <w:szCs w:val="20"/>
        </w:rPr>
        <w:t>Posted Date:</w:t>
      </w:r>
    </w:p>
    <w:p w14:paraId="0109BCE3"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color w:val="585880"/>
          <w:sz w:val="20"/>
          <w:szCs w:val="20"/>
        </w:rPr>
        <w:t>11/25/2021</w:t>
      </w:r>
    </w:p>
    <w:p w14:paraId="6DA00390" w14:textId="77777777" w:rsidR="00EF2636" w:rsidRPr="00EF2636" w:rsidRDefault="00EF2636" w:rsidP="00EF2636">
      <w:pPr>
        <w:spacing w:line="215" w:lineRule="atLeast"/>
        <w:rPr>
          <w:rFonts w:ascii="Arial" w:eastAsia="Times New Roman" w:hAnsi="Arial" w:cs="Arial"/>
          <w:b/>
          <w:bCs/>
          <w:color w:val="000080"/>
          <w:sz w:val="20"/>
          <w:szCs w:val="20"/>
        </w:rPr>
      </w:pPr>
      <w:r w:rsidRPr="00EF2636">
        <w:rPr>
          <w:rFonts w:ascii="Arial" w:eastAsia="Times New Roman" w:hAnsi="Arial" w:cs="Arial"/>
          <w:b/>
          <w:bCs/>
          <w:color w:val="000080"/>
          <w:sz w:val="20"/>
          <w:szCs w:val="20"/>
        </w:rPr>
        <w:t>Closing Date:</w:t>
      </w:r>
    </w:p>
    <w:p w14:paraId="2EB5A6DF"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color w:val="585880"/>
          <w:sz w:val="20"/>
          <w:szCs w:val="20"/>
        </w:rPr>
        <w:t>None specified</w:t>
      </w:r>
    </w:p>
    <w:p w14:paraId="09CF8C43" w14:textId="77777777" w:rsidR="00EF2636" w:rsidRPr="00EF2636" w:rsidRDefault="00EF2636" w:rsidP="00EF2636">
      <w:pPr>
        <w:spacing w:line="215" w:lineRule="atLeast"/>
        <w:rPr>
          <w:rFonts w:ascii="Arial" w:eastAsia="Times New Roman" w:hAnsi="Arial" w:cs="Arial"/>
          <w:b/>
          <w:bCs/>
          <w:color w:val="000080"/>
          <w:sz w:val="20"/>
          <w:szCs w:val="20"/>
        </w:rPr>
      </w:pPr>
      <w:r w:rsidRPr="00EF2636">
        <w:rPr>
          <w:rFonts w:ascii="Arial" w:eastAsia="Times New Roman" w:hAnsi="Arial" w:cs="Arial"/>
          <w:b/>
          <w:bCs/>
          <w:color w:val="000080"/>
          <w:sz w:val="20"/>
          <w:szCs w:val="20"/>
        </w:rPr>
        <w:t>Education Level:</w:t>
      </w:r>
    </w:p>
    <w:p w14:paraId="7A44923F"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color w:val="585880"/>
          <w:sz w:val="20"/>
          <w:szCs w:val="20"/>
        </w:rPr>
        <w:t>University Degree</w:t>
      </w:r>
    </w:p>
    <w:p w14:paraId="33AB65A9"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Job Description</w:t>
      </w:r>
    </w:p>
    <w:p w14:paraId="5167D817" w14:textId="77777777" w:rsidR="00EF2636" w:rsidRPr="00EF2636" w:rsidRDefault="00EF2636" w:rsidP="00EF2636">
      <w:pPr>
        <w:spacing w:line="215" w:lineRule="atLeast"/>
        <w:rPr>
          <w:rFonts w:ascii="Arial" w:eastAsia="Times New Roman" w:hAnsi="Arial" w:cs="Arial"/>
          <w:color w:val="585880"/>
          <w:sz w:val="20"/>
          <w:szCs w:val="20"/>
        </w:rPr>
      </w:pP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PSYCHOGERIATRIC RESOURCE CONSULTANT (21-R956)</w:t>
      </w:r>
      <w:r w:rsidRPr="00EF2636">
        <w:rPr>
          <w:rFonts w:ascii="Arial" w:eastAsia="Times New Roman" w:hAnsi="Arial" w:cs="Arial"/>
          <w:b/>
          <w:bCs/>
          <w:color w:val="585880"/>
          <w:sz w:val="20"/>
          <w:szCs w:val="20"/>
        </w:rPr>
        <w:br/>
      </w:r>
      <w:r w:rsidRPr="00EF2636">
        <w:rPr>
          <w:rFonts w:ascii="Arial" w:eastAsia="Times New Roman" w:hAnsi="Arial" w:cs="Arial"/>
          <w:b/>
          <w:bCs/>
          <w:color w:val="585880"/>
          <w:sz w:val="20"/>
          <w:szCs w:val="20"/>
        </w:rPr>
        <w:br/>
        <w:t>Bargaining Unit: Non-Union</w:t>
      </w:r>
      <w:r w:rsidRPr="00EF2636">
        <w:rPr>
          <w:rFonts w:ascii="Arial" w:eastAsia="Times New Roman" w:hAnsi="Arial" w:cs="Arial"/>
          <w:b/>
          <w:bCs/>
          <w:color w:val="585880"/>
          <w:sz w:val="20"/>
          <w:szCs w:val="20"/>
        </w:rPr>
        <w:br/>
        <w:t>Status: Full Time</w:t>
      </w:r>
      <w:r w:rsidRPr="00EF2636">
        <w:rPr>
          <w:rFonts w:ascii="Arial" w:eastAsia="Times New Roman" w:hAnsi="Arial" w:cs="Arial"/>
          <w:b/>
          <w:bCs/>
          <w:color w:val="585880"/>
          <w:sz w:val="20"/>
          <w:szCs w:val="20"/>
        </w:rPr>
        <w:br/>
        <w:t>Department: Community Behavioural Supports</w:t>
      </w:r>
      <w:r w:rsidRPr="00EF2636">
        <w:rPr>
          <w:rFonts w:ascii="Arial" w:eastAsia="Times New Roman" w:hAnsi="Arial" w:cs="Arial"/>
          <w:b/>
          <w:bCs/>
          <w:color w:val="585880"/>
          <w:sz w:val="20"/>
          <w:szCs w:val="20"/>
        </w:rPr>
        <w:br/>
        <w:t>Site: St. Joseph's Hospital (Office Location: St. Joseph's Heritage Manor House)</w:t>
      </w:r>
      <w:r w:rsidRPr="00EF2636">
        <w:rPr>
          <w:rFonts w:ascii="Arial" w:eastAsia="Times New Roman" w:hAnsi="Arial" w:cs="Arial"/>
          <w:b/>
          <w:bCs/>
          <w:color w:val="585880"/>
          <w:sz w:val="20"/>
          <w:szCs w:val="20"/>
        </w:rPr>
        <w:br/>
        <w:t>Location: Thunder Bay, ON</w:t>
      </w:r>
      <w:r w:rsidRPr="00EF2636">
        <w:rPr>
          <w:rFonts w:ascii="Arial" w:eastAsia="Times New Roman" w:hAnsi="Arial" w:cs="Arial"/>
          <w:b/>
          <w:bCs/>
          <w:color w:val="585880"/>
          <w:sz w:val="20"/>
          <w:szCs w:val="20"/>
        </w:rPr>
        <w:br/>
        <w:t>Shifts: Days</w:t>
      </w:r>
      <w:r w:rsidRPr="00EF2636">
        <w:rPr>
          <w:rFonts w:ascii="Arial" w:eastAsia="Times New Roman" w:hAnsi="Arial" w:cs="Arial"/>
          <w:b/>
          <w:bCs/>
          <w:color w:val="585880"/>
          <w:sz w:val="20"/>
          <w:szCs w:val="20"/>
        </w:rPr>
        <w:br/>
        <w:t>Annual Salary: $66,153.75 - $82,697.55</w:t>
      </w:r>
      <w:r w:rsidRPr="00EF2636">
        <w:rPr>
          <w:rFonts w:ascii="Arial" w:eastAsia="Times New Roman" w:hAnsi="Arial" w:cs="Arial"/>
          <w:color w:val="585880"/>
          <w:sz w:val="20"/>
          <w:szCs w:val="20"/>
        </w:rPr>
        <w:br/>
        <w:t>Reporting to the Manager, Specialized Geriatric Services, the Psychogeriatric Resource Consultant (PRC) has a strong knowledge base of behavioural support and the management of complex mental health needs, dementias and related responsive behaviours. The PRC is responsible for developing and maintaining partnerships with care providers within community and hospitals. The PRC collaborates with care providers, families, other specialists, consultants, and community teams to improve the quality of life of clients and their families. The primary role involves the capacity building of health service providers, through education, training, and clinical consultation; and providing a leadership role in the development and evaluation of treatment plans.</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Qualifications:</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Education/Experience:</w:t>
      </w:r>
      <w:r w:rsidRPr="00EF2636">
        <w:rPr>
          <w:rFonts w:ascii="Arial" w:eastAsia="Times New Roman" w:hAnsi="Arial" w:cs="Arial"/>
          <w:b/>
          <w:bCs/>
          <w:color w:val="585880"/>
          <w:sz w:val="20"/>
          <w:szCs w:val="20"/>
        </w:rPr>
        <w:br/>
      </w:r>
      <w:r w:rsidRPr="00EF2636">
        <w:rPr>
          <w:rFonts w:ascii="Arial" w:eastAsia="Times New Roman" w:hAnsi="Arial" w:cs="Arial"/>
          <w:color w:val="585880"/>
          <w:sz w:val="20"/>
          <w:szCs w:val="20"/>
        </w:rPr>
        <w:br/>
        <w:t>- Post-secondary education in a health care field, such as occupational therapy, social work, nursing or other degree-based health care</w:t>
      </w:r>
      <w:r w:rsidRPr="00EF2636">
        <w:rPr>
          <w:rFonts w:ascii="Arial" w:eastAsia="Times New Roman" w:hAnsi="Arial" w:cs="Arial"/>
          <w:color w:val="585880"/>
          <w:sz w:val="20"/>
          <w:szCs w:val="20"/>
        </w:rPr>
        <w:br/>
        <w:t>- Registered or eligible for registration with the appropriate professional college</w:t>
      </w:r>
      <w:r w:rsidRPr="00EF2636">
        <w:rPr>
          <w:rFonts w:ascii="Arial" w:eastAsia="Times New Roman" w:hAnsi="Arial" w:cs="Arial"/>
          <w:color w:val="585880"/>
          <w:sz w:val="20"/>
          <w:szCs w:val="20"/>
        </w:rPr>
        <w:br/>
        <w:t>- Minimum two years' experience in psychogeriatrics preferred otherwise significant experience in geriatrics, long-term care or community based seniors care is essential</w:t>
      </w:r>
      <w:r w:rsidRPr="00EF2636">
        <w:rPr>
          <w:rFonts w:ascii="Arial" w:eastAsia="Times New Roman" w:hAnsi="Arial" w:cs="Arial"/>
          <w:color w:val="585880"/>
          <w:sz w:val="20"/>
          <w:szCs w:val="20"/>
        </w:rPr>
        <w:br/>
        <w:t>- Experience working directly with seniors' mental health issues, including Alzheimer's disease and other dementias, in a variety of sectors</w:t>
      </w:r>
      <w:r w:rsidRPr="00EF2636">
        <w:rPr>
          <w:rFonts w:ascii="Arial" w:eastAsia="Times New Roman" w:hAnsi="Arial" w:cs="Arial"/>
          <w:color w:val="585880"/>
          <w:sz w:val="20"/>
          <w:szCs w:val="20"/>
        </w:rPr>
        <w:br/>
        <w:t>- Experience in program development, research and evaluation, community development, and education</w:t>
      </w:r>
      <w:r w:rsidRPr="00EF2636">
        <w:rPr>
          <w:rFonts w:ascii="Arial" w:eastAsia="Times New Roman" w:hAnsi="Arial" w:cs="Arial"/>
          <w:color w:val="585880"/>
          <w:sz w:val="20"/>
          <w:szCs w:val="20"/>
        </w:rPr>
        <w:br/>
        <w:t>- Experience with psychogeriatric screening, assessment and development of intervention strategies is required</w:t>
      </w:r>
      <w:r w:rsidRPr="00EF2636">
        <w:rPr>
          <w:rFonts w:ascii="Arial" w:eastAsia="Times New Roman" w:hAnsi="Arial" w:cs="Arial"/>
          <w:color w:val="585880"/>
          <w:sz w:val="20"/>
          <w:szCs w:val="20"/>
        </w:rPr>
        <w:br/>
        <w:t>- Competence in the use of standard assessment tools</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Skills/Abilities:</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t>- Ability to communicate effectively and concisely, both orally and in writing, with the ability to make presentations and deliver training to a variety of audiences</w:t>
      </w:r>
      <w:r w:rsidRPr="00EF2636">
        <w:rPr>
          <w:rFonts w:ascii="Arial" w:eastAsia="Times New Roman" w:hAnsi="Arial" w:cs="Arial"/>
          <w:color w:val="585880"/>
          <w:sz w:val="20"/>
          <w:szCs w:val="20"/>
        </w:rPr>
        <w:br/>
        <w:t>- Ability to establish and maintain effective relationships with superiors, employees, residents, families, and community partners, ministries and other external stakeholders</w:t>
      </w:r>
      <w:r w:rsidRPr="00EF2636">
        <w:rPr>
          <w:rFonts w:ascii="Arial" w:eastAsia="Times New Roman" w:hAnsi="Arial" w:cs="Arial"/>
          <w:color w:val="585880"/>
          <w:sz w:val="20"/>
          <w:szCs w:val="20"/>
        </w:rPr>
        <w:br/>
        <w:t>- Proven ability to function and contribute as an effective team member and to work independently</w:t>
      </w:r>
      <w:r w:rsidRPr="00EF2636">
        <w:rPr>
          <w:rFonts w:ascii="Arial" w:eastAsia="Times New Roman" w:hAnsi="Arial" w:cs="Arial"/>
          <w:color w:val="585880"/>
          <w:sz w:val="20"/>
          <w:szCs w:val="20"/>
        </w:rPr>
        <w:br/>
        <w:t xml:space="preserve">- Excellent project/time management, analytical/critical thinking, problem-solving, and decision-making </w:t>
      </w:r>
      <w:r w:rsidRPr="00EF2636">
        <w:rPr>
          <w:rFonts w:ascii="Arial" w:eastAsia="Times New Roman" w:hAnsi="Arial" w:cs="Arial"/>
          <w:color w:val="585880"/>
          <w:sz w:val="20"/>
          <w:szCs w:val="20"/>
        </w:rPr>
        <w:lastRenderedPageBreak/>
        <w:t>skills</w:t>
      </w:r>
      <w:r w:rsidRPr="00EF2636">
        <w:rPr>
          <w:rFonts w:ascii="Arial" w:eastAsia="Times New Roman" w:hAnsi="Arial" w:cs="Arial"/>
          <w:color w:val="585880"/>
          <w:sz w:val="20"/>
          <w:szCs w:val="20"/>
        </w:rPr>
        <w:br/>
        <w:t>- Strong leadership skills including the ability to share skills and knowledge with others</w:t>
      </w:r>
      <w:r w:rsidRPr="00EF2636">
        <w:rPr>
          <w:rFonts w:ascii="Arial" w:eastAsia="Times New Roman" w:hAnsi="Arial" w:cs="Arial"/>
          <w:color w:val="585880"/>
          <w:sz w:val="20"/>
          <w:szCs w:val="20"/>
        </w:rPr>
        <w:br/>
        <w:t>- Must be proficient in the use of computers and current related word processing, spreadsheet, and presentation and health &amp; safety software</w:t>
      </w:r>
      <w:r w:rsidRPr="00EF2636">
        <w:rPr>
          <w:rFonts w:ascii="Arial" w:eastAsia="Times New Roman" w:hAnsi="Arial" w:cs="Arial"/>
          <w:color w:val="585880"/>
          <w:sz w:val="20"/>
          <w:szCs w:val="20"/>
        </w:rPr>
        <w:br/>
        <w:t>- Must be competent within the meaning of the Occupational Health and Safety Act</w:t>
      </w:r>
      <w:r w:rsidRPr="00EF2636">
        <w:rPr>
          <w:rFonts w:ascii="Arial" w:eastAsia="Times New Roman" w:hAnsi="Arial" w:cs="Arial"/>
          <w:color w:val="585880"/>
          <w:sz w:val="20"/>
          <w:szCs w:val="20"/>
        </w:rPr>
        <w:br/>
        <w:t>- Ability to travel to various work locations and provide own transportation</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Assets:</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t>- Experience with the P.I.E.C.E.S. program would be an asset</w:t>
      </w:r>
      <w:r w:rsidRPr="00EF2636">
        <w:rPr>
          <w:rFonts w:ascii="Arial" w:eastAsia="Times New Roman" w:hAnsi="Arial" w:cs="Arial"/>
          <w:color w:val="585880"/>
          <w:sz w:val="20"/>
          <w:szCs w:val="20"/>
        </w:rPr>
        <w:br/>
        <w:t>- Knowledge of the consultation process would be an asset</w:t>
      </w:r>
      <w:r w:rsidRPr="00EF2636">
        <w:rPr>
          <w:rFonts w:ascii="Arial" w:eastAsia="Times New Roman" w:hAnsi="Arial" w:cs="Arial"/>
          <w:color w:val="585880"/>
          <w:sz w:val="20"/>
          <w:szCs w:val="20"/>
        </w:rPr>
        <w:br/>
        <w:t>- The ability to converse in a second language would be an asset</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color w:val="585880"/>
          <w:sz w:val="20"/>
          <w:szCs w:val="20"/>
        </w:rPr>
        <w:t>CONDITION OF EMPLOYMENT</w:t>
      </w:r>
      <w:r w:rsidRPr="00EF2636">
        <w:rPr>
          <w:rFonts w:ascii="Arial" w:eastAsia="Times New Roman" w:hAnsi="Arial" w:cs="Arial"/>
          <w:color w:val="585880"/>
          <w:sz w:val="20"/>
          <w:szCs w:val="20"/>
        </w:rPr>
        <w:br/>
      </w:r>
    </w:p>
    <w:p w14:paraId="17D9C014" w14:textId="77777777" w:rsidR="00EF2636" w:rsidRPr="00EF2636" w:rsidRDefault="00EF2636" w:rsidP="00EF2636">
      <w:pPr>
        <w:numPr>
          <w:ilvl w:val="0"/>
          <w:numId w:val="1"/>
        </w:numPr>
        <w:spacing w:before="100" w:beforeAutospacing="1" w:after="100" w:afterAutospacing="1" w:line="215" w:lineRule="atLeast"/>
        <w:ind w:left="780"/>
        <w:rPr>
          <w:rFonts w:ascii="Arial" w:eastAsia="Times New Roman" w:hAnsi="Arial" w:cs="Arial"/>
          <w:color w:val="585880"/>
          <w:sz w:val="20"/>
          <w:szCs w:val="20"/>
        </w:rPr>
      </w:pPr>
      <w:r w:rsidRPr="00EF2636">
        <w:rPr>
          <w:rFonts w:ascii="Arial" w:eastAsia="Times New Roman" w:hAnsi="Arial" w:cs="Arial"/>
          <w:color w:val="585880"/>
          <w:sz w:val="20"/>
          <w:szCs w:val="20"/>
        </w:rPr>
        <w:t>Offers of employment made to external candidates are conditional upon providing proof of COVID-19 vaccination as per the </w:t>
      </w:r>
      <w:hyperlink r:id="rId5" w:tgtFrame="_blank" w:history="1">
        <w:r w:rsidRPr="00EF2636">
          <w:rPr>
            <w:rFonts w:ascii="Arial" w:eastAsia="Times New Roman" w:hAnsi="Arial" w:cs="Arial"/>
            <w:color w:val="336699"/>
            <w:sz w:val="20"/>
            <w:szCs w:val="20"/>
            <w:u w:val="single"/>
          </w:rPr>
          <w:t>SJCG Immunization Policy IMS-04-005</w:t>
        </w:r>
      </w:hyperlink>
      <w:r w:rsidRPr="00EF2636">
        <w:rPr>
          <w:rFonts w:ascii="Arial" w:eastAsia="Times New Roman" w:hAnsi="Arial" w:cs="Arial"/>
          <w:color w:val="585880"/>
          <w:sz w:val="20"/>
          <w:szCs w:val="20"/>
        </w:rPr>
        <w:br/>
        <w:t>or proof of valid medical exemption, prior to the offered effective date. If proof of vaccination or valid medical exemption is not provided, the offer of employment is rescinded.</w:t>
      </w:r>
      <w:r w:rsidRPr="00EF2636">
        <w:rPr>
          <w:rFonts w:ascii="Arial" w:eastAsia="Times New Roman" w:hAnsi="Arial" w:cs="Arial"/>
          <w:color w:val="585880"/>
          <w:sz w:val="20"/>
          <w:szCs w:val="20"/>
        </w:rPr>
        <w:br/>
      </w:r>
      <w:r w:rsidRPr="00EF2636">
        <w:rPr>
          <w:rFonts w:ascii="Arial" w:eastAsia="Times New Roman" w:hAnsi="Arial" w:cs="Arial"/>
          <w:color w:val="585880"/>
          <w:sz w:val="20"/>
          <w:szCs w:val="20"/>
        </w:rPr>
        <w:br/>
      </w:r>
      <w:r w:rsidRPr="00EF2636">
        <w:rPr>
          <w:rFonts w:ascii="Arial" w:eastAsia="Times New Roman" w:hAnsi="Arial" w:cs="Arial"/>
          <w:b/>
          <w:bCs/>
          <w:i/>
          <w:iCs/>
          <w:color w:val="585880"/>
          <w:sz w:val="20"/>
          <w:szCs w:val="20"/>
        </w:rPr>
        <w:t>St. Joseph's Care Group is committed to providing high quality client-centred care by building a respectful and inclusive workforce that reflects the diverse population it serves. Individuals who speak a second language including French, Finnish, Italian, Ojibway, Cree, Oji-Cree, etc. are encouraged to apply.</w:t>
      </w:r>
      <w:r w:rsidRPr="00EF2636">
        <w:rPr>
          <w:rFonts w:ascii="Arial" w:eastAsia="Times New Roman" w:hAnsi="Arial" w:cs="Arial"/>
          <w:b/>
          <w:bCs/>
          <w:i/>
          <w:iCs/>
          <w:color w:val="585880"/>
          <w:sz w:val="20"/>
          <w:szCs w:val="20"/>
        </w:rPr>
        <w:br/>
      </w:r>
      <w:r w:rsidRPr="00EF2636">
        <w:rPr>
          <w:rFonts w:ascii="Arial" w:eastAsia="Times New Roman" w:hAnsi="Arial" w:cs="Arial"/>
          <w:b/>
          <w:bCs/>
          <w:i/>
          <w:iCs/>
          <w:color w:val="585880"/>
          <w:sz w:val="20"/>
          <w:szCs w:val="20"/>
        </w:rPr>
        <w:br/>
        <w:t>Upon request, accommodations due to a disability are available throughout the selection process.</w:t>
      </w:r>
      <w:r w:rsidRPr="00EF2636">
        <w:rPr>
          <w:rFonts w:ascii="Arial" w:eastAsia="Times New Roman" w:hAnsi="Arial" w:cs="Arial"/>
          <w:b/>
          <w:bCs/>
          <w:i/>
          <w:iCs/>
          <w:color w:val="585880"/>
          <w:sz w:val="20"/>
          <w:szCs w:val="20"/>
        </w:rPr>
        <w:br/>
      </w:r>
      <w:r w:rsidRPr="00EF2636">
        <w:rPr>
          <w:rFonts w:ascii="Arial" w:eastAsia="Times New Roman" w:hAnsi="Arial" w:cs="Arial"/>
          <w:b/>
          <w:bCs/>
          <w:i/>
          <w:iCs/>
          <w:color w:val="585880"/>
          <w:sz w:val="20"/>
          <w:szCs w:val="20"/>
        </w:rPr>
        <w:br/>
        <w:t>Applications from all qualified individuals are welcome. We thank you for your interest; however, only candidates selected for an interview will be contacted.</w:t>
      </w:r>
    </w:p>
    <w:p w14:paraId="0D79DA2D" w14:textId="77777777" w:rsidR="0062603C" w:rsidRDefault="0062603C"/>
    <w:sectPr w:rsidR="0062603C" w:rsidSect="007C11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6FCC"/>
    <w:multiLevelType w:val="multilevel"/>
    <w:tmpl w:val="4E7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6"/>
    <w:rsid w:val="0062603C"/>
    <w:rsid w:val="007C1168"/>
    <w:rsid w:val="00EF26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190AE0"/>
  <w15:chartTrackingRefBased/>
  <w15:docId w15:val="{470338F7-7D58-8746-9822-A8E98522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2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8616">
      <w:bodyDiv w:val="1"/>
      <w:marLeft w:val="0"/>
      <w:marRight w:val="0"/>
      <w:marTop w:val="0"/>
      <w:marBottom w:val="0"/>
      <w:divBdr>
        <w:top w:val="none" w:sz="0" w:space="0" w:color="auto"/>
        <w:left w:val="none" w:sz="0" w:space="0" w:color="auto"/>
        <w:bottom w:val="none" w:sz="0" w:space="0" w:color="auto"/>
        <w:right w:val="none" w:sz="0" w:space="0" w:color="auto"/>
      </w:divBdr>
      <w:divsChild>
        <w:div w:id="982927405">
          <w:marLeft w:val="30"/>
          <w:marRight w:val="0"/>
          <w:marTop w:val="0"/>
          <w:marBottom w:val="0"/>
          <w:divBdr>
            <w:top w:val="none" w:sz="0" w:space="0" w:color="auto"/>
            <w:left w:val="none" w:sz="0" w:space="0" w:color="auto"/>
            <w:bottom w:val="none" w:sz="0" w:space="0" w:color="auto"/>
            <w:right w:val="none" w:sz="0" w:space="0" w:color="auto"/>
          </w:divBdr>
          <w:divsChild>
            <w:div w:id="1592548403">
              <w:marLeft w:val="30"/>
              <w:marRight w:val="0"/>
              <w:marTop w:val="0"/>
              <w:marBottom w:val="0"/>
              <w:divBdr>
                <w:top w:val="none" w:sz="0" w:space="0" w:color="auto"/>
                <w:left w:val="none" w:sz="0" w:space="0" w:color="auto"/>
                <w:bottom w:val="none" w:sz="0" w:space="0" w:color="auto"/>
                <w:right w:val="none" w:sz="0" w:space="0" w:color="auto"/>
              </w:divBdr>
            </w:div>
            <w:div w:id="946933654">
              <w:marLeft w:val="30"/>
              <w:marRight w:val="0"/>
              <w:marTop w:val="0"/>
              <w:marBottom w:val="0"/>
              <w:divBdr>
                <w:top w:val="none" w:sz="0" w:space="0" w:color="auto"/>
                <w:left w:val="none" w:sz="0" w:space="0" w:color="auto"/>
                <w:bottom w:val="none" w:sz="0" w:space="0" w:color="auto"/>
                <w:right w:val="none" w:sz="0" w:space="0" w:color="auto"/>
              </w:divBdr>
            </w:div>
            <w:div w:id="2122723869">
              <w:marLeft w:val="30"/>
              <w:marRight w:val="0"/>
              <w:marTop w:val="0"/>
              <w:marBottom w:val="0"/>
              <w:divBdr>
                <w:top w:val="none" w:sz="0" w:space="0" w:color="auto"/>
                <w:left w:val="none" w:sz="0" w:space="0" w:color="auto"/>
                <w:bottom w:val="none" w:sz="0" w:space="0" w:color="auto"/>
                <w:right w:val="none" w:sz="0" w:space="0" w:color="auto"/>
              </w:divBdr>
            </w:div>
            <w:div w:id="1136026158">
              <w:marLeft w:val="0"/>
              <w:marRight w:val="0"/>
              <w:marTop w:val="0"/>
              <w:marBottom w:val="0"/>
              <w:divBdr>
                <w:top w:val="none" w:sz="0" w:space="0" w:color="auto"/>
                <w:left w:val="none" w:sz="0" w:space="0" w:color="auto"/>
                <w:bottom w:val="none" w:sz="0" w:space="0" w:color="auto"/>
                <w:right w:val="none" w:sz="0" w:space="0" w:color="auto"/>
              </w:divBdr>
              <w:divsChild>
                <w:div w:id="302776972">
                  <w:marLeft w:val="30"/>
                  <w:marRight w:val="0"/>
                  <w:marTop w:val="0"/>
                  <w:marBottom w:val="0"/>
                  <w:divBdr>
                    <w:top w:val="none" w:sz="0" w:space="0" w:color="auto"/>
                    <w:left w:val="none" w:sz="0" w:space="0" w:color="auto"/>
                    <w:bottom w:val="none" w:sz="0" w:space="0" w:color="auto"/>
                    <w:right w:val="none" w:sz="0" w:space="0" w:color="auto"/>
                  </w:divBdr>
                </w:div>
              </w:divsChild>
            </w:div>
            <w:div w:id="11507080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jcg.net/Public-Downloads/COVID-19/policies/IMS-04-005-COVID-19-Immunization-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2021-11-29T19:55:00Z</dcterms:created>
  <dcterms:modified xsi:type="dcterms:W3CDTF">2021-11-29T19:56:00Z</dcterms:modified>
</cp:coreProperties>
</file>